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版本号：SXZY202507（ZB）-00120250704001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西安市长安区2025年度水质检测项目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SXZY202507（ZB）-001</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正耀项目管理有限公司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正耀项目管理有限公司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西安市长安区2025年度水质检测项目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SXZY202507（ZB）-001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西安市长安区2025年度水质检测项目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保障农村居民饮用水安全，对全区范围内16个街办的410余处农村饮水安全项目进行每年2次的水质检测（丰水期、枯水期），全面掌握农村饮水水质状况，确保农村居民饮用水符合国家相关水质标准，及时发现并解决可能存在的水质问题，保障农村居民饮水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采购包1（西安市长安区2025年度水质检测项目）：属于专门面向中小企业采购。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要求：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p>
      <w:pPr>
        <w:pStyle w:val="null3"/>
      </w:pPr>
      <w:r>
        <w:rPr>
          <w:rFonts w:ascii="仿宋_GB2312" w:hAnsi="仿宋_GB2312" w:cs="仿宋_GB2312" w:eastAsia="仿宋_GB2312"/>
        </w:rPr>
        <w:t>2、供应商授权代表要求：法定代表人直接参加磋商的，须提交《法定代表人身份证明》和身份证电子版。法定代表人授权委托代理人参加磋商的，须提交《法定代表人授权委托书》；</w:t>
      </w:r>
    </w:p>
    <w:p>
      <w:pPr>
        <w:pStyle w:val="null3"/>
      </w:pPr>
      <w:r>
        <w:rPr>
          <w:rFonts w:ascii="仿宋_GB2312" w:hAnsi="仿宋_GB2312" w:cs="仿宋_GB2312" w:eastAsia="仿宋_GB2312"/>
        </w:rPr>
        <w:t>3、供应商信用情况：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p>
      <w:pPr>
        <w:pStyle w:val="null3"/>
      </w:pPr>
      <w:r>
        <w:rPr>
          <w:rFonts w:ascii="仿宋_GB2312" w:hAnsi="仿宋_GB2312" w:cs="仿宋_GB2312" w:eastAsia="仿宋_GB2312"/>
        </w:rPr>
        <w:t>4、资质证书：供应商应具有生活饮用水水质检测CMA认证资质，并提供有效的《检验检测机构资质认定证书》及附表。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陕西省西安市雁塔区太白南路71号悦熙广场3号楼1单元1418室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18792773469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代理服务费用收取对象：中标/成交供应商代理服务费收费标准：成交单位领取成交通知书前，向采购代理机构一次性支付成交服务费。以中标金额为基数，采购服务费参考《国家计委关于印发&lt;采购代理服务收费管理暂行办法&gt;的通知》（计价格【2002】1980号）及《国家发改委关于降低部分建设项目收费标准规范收费行为等有关问题的通知》（发改价格[2011]534号）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正耀项目管理有限公司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正耀项目管理有限公司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采购包1：分包比例11.63%，分包履行的内容：允许将自行无法检测的指标进行分包检测，但不得＞5项；资质要求详见第4章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检测服务按照合同约定在规定期限内完成并达到预期目标；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联系人：赵忠</w:t>
      </w:r>
    </w:p>
    <w:p>
      <w:pPr>
        <w:pStyle w:val="null3"/>
      </w:pPr>
      <w:r>
        <w:rPr>
          <w:rFonts w:ascii="仿宋_GB2312" w:hAnsi="仿宋_GB2312" w:cs="仿宋_GB2312" w:eastAsia="仿宋_GB2312"/>
        </w:rPr>
        <w:t>联系电话：18792773469</w:t>
      </w:r>
    </w:p>
    <w:p>
      <w:pPr>
        <w:pStyle w:val="null3"/>
      </w:pPr>
      <w:r>
        <w:rPr>
          <w:rFonts w:ascii="仿宋_GB2312" w:hAnsi="仿宋_GB2312" w:cs="仿宋_GB2312" w:eastAsia="仿宋_GB2312"/>
        </w:rPr>
        <w:t>地址：陕西省西安市雁塔区丈八街道绿地领海大厦A座2408室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保障农村居民饮用水安全，对全区范围内16个街办的410余处农村饮水安全项目进行每年2次的水质检测（丰水期、枯水期），全面掌握农村饮水水质状况，确保农村居民饮用水符合国家相关水质标准，及时发现并解决可能存在的水质问题，保障农村居民饮水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西安市长安区2025年度水质检测项目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标的名称：西安市长安区2025年度水质检测项目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允许将自行无法检测的指标进行分包检测，但不得＞</w:t>
            </w:r>
            <w:r>
              <w:rPr>
                <w:rFonts w:ascii="仿宋_GB2312" w:hAnsi="仿宋_GB2312" w:cs="仿宋_GB2312" w:eastAsia="仿宋_GB2312"/>
                <w:sz w:val="21"/>
              </w:rPr>
              <w:t>5项，且供应商（含分包单位检测部分）检测能力必须完全满足本项目43项检测内容，</w:t>
            </w:r>
            <w:r>
              <w:rPr>
                <w:rFonts w:ascii="仿宋_GB2312" w:hAnsi="仿宋_GB2312" w:cs="仿宋_GB2312" w:eastAsia="仿宋_GB2312"/>
                <w:sz w:val="21"/>
              </w:rPr>
              <w:t>检验方法</w:t>
            </w:r>
            <w:r>
              <w:rPr>
                <w:rFonts w:ascii="仿宋_GB2312" w:hAnsi="仿宋_GB2312" w:cs="仿宋_GB2312" w:eastAsia="仿宋_GB2312"/>
                <w:sz w:val="21"/>
              </w:rPr>
              <w:t>以</w:t>
            </w:r>
            <w:r>
              <w:rPr>
                <w:rFonts w:ascii="仿宋_GB2312" w:hAnsi="仿宋_GB2312" w:cs="仿宋_GB2312" w:eastAsia="仿宋_GB2312"/>
                <w:sz w:val="21"/>
              </w:rPr>
              <w:t>《生活饮用水标准检验方法》（GB 5750-2023）标准为准，否则</w:t>
            </w:r>
            <w:r>
              <w:rPr>
                <w:rFonts w:ascii="仿宋_GB2312" w:hAnsi="仿宋_GB2312" w:cs="仿宋_GB2312" w:eastAsia="仿宋_GB2312"/>
                <w:sz w:val="21"/>
              </w:rPr>
              <w:t>其响应文件无效。</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1）微生物指标（3项）：总大肠菌群、大肠埃希氏菌、菌落总数；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毒理指标（18项）：砷、镉、铬（六价）、铅、汞、氰化物、氟化物、硝酸盐（以N计）、三氯甲烷、一氯二溴甲烷、二氯一溴甲烷、三溴甲烷、三卤甲烷（注：三卤甲烷仅为三氯甲烷、一氯二溴甲烷、二氯一溴甲烷、三溴甲烷计算之和，无需提供单独认证）、二氯乙酸、三氯乙酸、溴酸盐、亚氯酸盐、氯酸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3）感官性状和一般化学指标（16项）：色度、浑浊度、臭和味、肉眼可见物、pH、铝、铁、锰、铜、锌、氯化物、硫酸盐、溶解性总固体、总硬度、高锰酸盐指数（以O2计）、氨（以N计）；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4）放射性指标（6项）：总α放射性、总β放射性、游离氯、总氯、臭氧、二氧化氯。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由采购人按照响应文件及采购需求，对该项目逐条进行一次性验收。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第一批次向采购人出具所有检测点位的检测报告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第二批次向采购人出具所有检测点位的检测报告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违约责任：供应商未能在约定时间内完成检测任务或者检测报告不符合合同要求，供应商应负责采取补救措施或者根据采购人的要求赔偿因此造成的损失。 解决争议的方法： 1、由于不可抗力因素致使本合同无法履行时，各方应及时协商解决； 2、本合同未尽事宜双方协商解决，协商不成依法向合同签订地人民法院起诉。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出具的成果文件：具有CMA认证的《检验报告》及其配套证明文件，1式2份，1正1副。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证明文件如下：2024年度（如果没有可提供2023年度）的财务报告（注：至少包括财务报告、资产负债表、利润表（或损益表）、现金流量表及财务报表附注）；或其开标前三个月内基本存款账户开户银行出具的资信证明及基本存款账户开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供应商主体要求</w:t>
            </w:r>
          </w:p>
        </w:tc>
        <w:tc>
          <w:tcPr>
            <w:tcW w:type="dxa" w:w="3322"/>
          </w:tcPr>
          <w:p>
            <w:pPr>
              <w:pStyle w:val="null3"/>
            </w:pPr>
            <w:r>
              <w:rPr>
                <w:rFonts w:ascii="仿宋_GB2312" w:hAnsi="仿宋_GB2312" w:cs="仿宋_GB2312" w:eastAsia="仿宋_GB2312"/>
              </w:rPr>
              <w:t>在中华人民共和国境内注册，且具有独立承担民事责任能力的法人、其他组织或者自然人。企业法人应提供合法有效的标识有统一社会信用代码的营业执照；其他组织应提供合法登记证明文件；自然人应提供其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供应商授权代表要求</w:t>
            </w:r>
          </w:p>
        </w:tc>
        <w:tc>
          <w:tcPr>
            <w:tcW w:type="dxa" w:w="3322"/>
          </w:tcPr>
          <w:p>
            <w:pPr>
              <w:pStyle w:val="null3"/>
            </w:pPr>
            <w:r>
              <w:rPr>
                <w:rFonts w:ascii="仿宋_GB2312" w:hAnsi="仿宋_GB2312" w:cs="仿宋_GB2312" w:eastAsia="仿宋_GB2312"/>
              </w:rPr>
              <w:t>法定代表人直接参加磋商的，须提交《法定代表人身份证明》和身份证电子版。法定代表人授权委托代理人参加磋商的，须提交《法定代表人授权委托书》；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供应商信用情况</w:t>
            </w:r>
          </w:p>
        </w:tc>
        <w:tc>
          <w:tcPr>
            <w:tcW w:type="dxa" w:w="3322"/>
          </w:tcPr>
          <w:p>
            <w:pPr>
              <w:pStyle w:val="null3"/>
            </w:pPr>
            <w:r>
              <w:rPr>
                <w:rFonts w:ascii="仿宋_GB2312" w:hAnsi="仿宋_GB2312" w:cs="仿宋_GB2312" w:eastAsia="仿宋_GB2312"/>
              </w:rPr>
              <w:t>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供应商应具有生活饮用水水质检测CMA认证资质，并提供有效的《检验检测机构资质认定证书》及附表。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响应文件的签字、盖章是否符合磋商文件要求。</w:t>
            </w:r>
          </w:p>
        </w:tc>
        <w:tc>
          <w:tcPr>
            <w:tcW w:type="dxa" w:w="1661"/>
          </w:tcPr>
          <w:p>
            <w:pPr>
              <w:pStyle w:val="null3"/>
            </w:pPr>
            <w:r>
              <w:rPr>
                <w:rFonts w:ascii="仿宋_GB2312" w:hAnsi="仿宋_GB2312" w:cs="仿宋_GB2312" w:eastAsia="仿宋_GB2312"/>
              </w:rPr>
              <w:t>响应文件封面 供应商须提供的其他资料.docx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首轮报价是否唯一有效，且未超过采购预算或最高限价。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磋商文件规定的实质性要求</w:t>
            </w:r>
          </w:p>
        </w:tc>
        <w:tc>
          <w:tcPr>
            <w:tcW w:type="dxa" w:w="3322"/>
          </w:tcPr>
          <w:p>
            <w:pPr>
              <w:pStyle w:val="null3"/>
            </w:pPr>
            <w:r>
              <w:rPr>
                <w:rFonts w:ascii="仿宋_GB2312" w:hAnsi="仿宋_GB2312" w:cs="仿宋_GB2312" w:eastAsia="仿宋_GB2312"/>
              </w:rPr>
              <w:t>供应商应完全响应</w:t>
            </w:r>
          </w:p>
        </w:tc>
        <w:tc>
          <w:tcPr>
            <w:tcW w:type="dxa" w:w="1661"/>
          </w:tcPr>
          <w:p>
            <w:pPr>
              <w:pStyle w:val="null3"/>
            </w:pPr>
            <w:r>
              <w:rPr>
                <w:rFonts w:ascii="仿宋_GB2312" w:hAnsi="仿宋_GB2312" w:cs="仿宋_GB2312" w:eastAsia="仿宋_GB2312"/>
              </w:rPr>
              <w:t>响应文件封面 供应商须提供的其他资料.docx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国家法律法规及采购文件规定的其他无效响应</w:t>
            </w:r>
          </w:p>
        </w:tc>
        <w:tc>
          <w:tcPr>
            <w:tcW w:type="dxa" w:w="1661"/>
          </w:tcPr>
          <w:p>
            <w:pPr>
              <w:pStyle w:val="null3"/>
            </w:pPr>
            <w:r>
              <w:rPr>
                <w:rFonts w:ascii="仿宋_GB2312" w:hAnsi="仿宋_GB2312" w:cs="仿宋_GB2312" w:eastAsia="仿宋_GB2312"/>
              </w:rPr>
              <w:t>响应文件封面 供应商须提供的其他资料.docx 供应商应提交的相关资格证明材料.docx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供应商自2023年1月1日以来承接过的水质检测业绩，每个得2分，满分6分。（以合同或中标/成交通知书扫描件加盖公章为准）。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根据提供服务承诺的可实施性、完整性及合理性进行打分。 （1）拟投入本项目的服务人员、检测设备仪器及后期服务等方面做出承诺，承诺完整、可行性较强，得[6～4]分； （2）拟投入本项目的服务人员、检测设备仪器及后期服务等方面做出承诺，承诺不完整、可行性一般，得(4～2]分； （3）拟投入本项目的服务人员、检测设备仪器及后期服务等方面做出承诺，承诺不完整、不具备可行性，得(2～0]分。 注：“[、]”表示包含本数，“(、)”表示不包含本数。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采样实施方案</w:t>
            </w:r>
          </w:p>
        </w:tc>
        <w:tc>
          <w:tcPr>
            <w:tcW w:type="dxa" w:w="2492"/>
          </w:tcPr>
          <w:p>
            <w:pPr>
              <w:pStyle w:val="null3"/>
            </w:pPr>
            <w:r>
              <w:rPr>
                <w:rFonts w:ascii="仿宋_GB2312" w:hAnsi="仿宋_GB2312" w:cs="仿宋_GB2312" w:eastAsia="仿宋_GB2312"/>
              </w:rPr>
              <w:t>根据提供采样方案及目标实施性、完整性及合理性进行打分。 （1）采样方案及服务流程合理、目标明确，内容完整，有较强的可实施性，完全满足采购需求，得[21～14]分； （2）采样方案及服务流程基本合理，目标较明确，内容较完整，可实施性一般，基本满足采购需求，得(14～7]分； （3）采样方案及服务流程不合理、目标不明确，内容不完整，基本不可实施，无法满足采购需求，得(7～0]分； 注：“[、]”表示包含本数，“(、)”表示不包含本数。</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设备参数</w:t>
            </w:r>
          </w:p>
        </w:tc>
        <w:tc>
          <w:tcPr>
            <w:tcW w:type="dxa" w:w="2492"/>
          </w:tcPr>
          <w:p>
            <w:pPr>
              <w:pStyle w:val="null3"/>
            </w:pPr>
            <w:r>
              <w:rPr>
                <w:rFonts w:ascii="仿宋_GB2312" w:hAnsi="仿宋_GB2312" w:cs="仿宋_GB2312" w:eastAsia="仿宋_GB2312"/>
              </w:rPr>
              <w:t>根据检测需求对所投检测设备进行打分。 （1）所投设备选型明确、配置完整，设备功能齐全，完全满足采购人检测需求，得[6～4]分； （2）所投设备选型较明确、配置较为完整，功能基本齐全，基本能够满足采购人检测需求，得(4～2]分； （3）所投设备选型不明确、配置不完整，设备的功能不齐全，不能满足采购人检测需求，得(2～0]分。 注：“[、]”表示包含本数，“(、)”表示不包含本数。</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根据采购需求制定相关检测实施方案。 （1）检测项目完整、方案合理、有较强的可实施性，得[21～14]分； （2）检测项目方案基本合理、可实施性不强，得(14～7]分； （3）检测项目方案不合理、基本不可实施，得(7～0]分； 注：“[、]”表示包含本数，“(、)”表示不包含本数。</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项目管理进度及控制方案</w:t>
            </w:r>
          </w:p>
        </w:tc>
        <w:tc>
          <w:tcPr>
            <w:tcW w:type="dxa" w:w="2492"/>
          </w:tcPr>
          <w:p>
            <w:pPr>
              <w:pStyle w:val="null3"/>
            </w:pPr>
            <w:r>
              <w:rPr>
                <w:rFonts w:ascii="仿宋_GB2312" w:hAnsi="仿宋_GB2312" w:cs="仿宋_GB2312" w:eastAsia="仿宋_GB2312"/>
              </w:rPr>
              <w:t>根据项目管理进度计划的制定、控制方案内容进行打分。 （1）供应商所提供的管理进度及控制方案内容完整、具有较强的可操作性和灵活性，得[20～14]分； （2）供应商所提供的管理进度及控制方案内容较完整、基本具备可操作性和灵活性，得(14～7]分； （3）供应商所提供的管理进度及控制方案内容不完整、不具备可操作性和灵活性，得(7～0]分。 注：“[、]”表示包含本数，“(、)”表示不包含本数。</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应急检测方案</w:t>
            </w:r>
          </w:p>
        </w:tc>
        <w:tc>
          <w:tcPr>
            <w:tcW w:type="dxa" w:w="2492"/>
          </w:tcPr>
          <w:p>
            <w:pPr>
              <w:pStyle w:val="null3"/>
            </w:pPr>
            <w:r>
              <w:rPr>
                <w:rFonts w:ascii="仿宋_GB2312" w:hAnsi="仿宋_GB2312" w:cs="仿宋_GB2312" w:eastAsia="仿宋_GB2312"/>
              </w:rPr>
              <w:t>供应商结合项目情况提出相关突发污染应急响应方案。（1）方案合理、有较强的可实施性，得[10～7]分； （2）方案基本合理、可实施性不强，得(7～4]分； （3）方案不合理、基本不可实施，得(4～0]分； 注：“[、]”表示包含本数，“(、)”表示不包含本数。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详见附件：供应商须提供的其他资料.docx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详见附件：技术合同.docx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