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版本号：SXXYCZB-CS-2025072520250730001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长安区家门口驿站购买第三方专业化运营服务项目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SXXYCZB-CS-20250725</w:t>
      </w:r>
      <w:r>
        <w:br/>
      </w:r>
      <w:r>
        <w:br/>
      </w:r>
      <w:r>
        <w:br/>
      </w:r>
    </w:p>
    <w:p>
      <w:pPr>
        <w:pStyle w:val="null3"/>
        <w:jc w:val="center"/>
        <w:outlineLvl w:val="2"/>
      </w:pPr>
      <w:r>
        <w:rPr>
          <w:rFonts w:ascii="仿宋_GB2312" w:hAnsi="仿宋_GB2312" w:cs="仿宋_GB2312" w:eastAsia="仿宋_GB2312"/>
          <w:sz w:val="28"/>
          <w:b/>
        </w:rPr>
        <w:t>西安市长安区劳动就业管理服务中心</w:t>
      </w:r>
    </w:p>
    <w:p>
      <w:pPr>
        <w:pStyle w:val="null3"/>
        <w:jc w:val="center"/>
        <w:outlineLvl w:val="2"/>
      </w:pPr>
      <w:r>
        <w:rPr>
          <w:rFonts w:ascii="仿宋_GB2312" w:hAnsi="仿宋_GB2312" w:cs="仿宋_GB2312" w:eastAsia="仿宋_GB2312"/>
          <w:sz w:val="28"/>
          <w:b/>
        </w:rPr>
        <w:t>陕西信悦诚招标有限公司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陕西信悦诚招标有限公司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西安市长安区劳动就业管理服务中心</w:t>
      </w:r>
      <w:r>
        <w:rPr>
          <w:rFonts w:ascii="仿宋_GB2312" w:hAnsi="仿宋_GB2312" w:cs="仿宋_GB2312" w:eastAsia="仿宋_GB2312"/>
        </w:rPr>
        <w:t>委托，拟对</w:t>
      </w:r>
      <w:r>
        <w:rPr>
          <w:rFonts w:ascii="仿宋_GB2312" w:hAnsi="仿宋_GB2312" w:cs="仿宋_GB2312" w:eastAsia="仿宋_GB2312"/>
        </w:rPr>
        <w:t>长安区家门口驿站购买第三方专业化运营服务项目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SXXYCZB-CS-20250725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长安区家门口驿站购买第三方专业化运营服务项目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区家门口就业服务驿站旨在为辖区各类求职群体提供安全可靠的就业机会，同时促进产业发展和用工保障。2024年建立并投入使用19个标准化“家门口”就业服务站，实现了辖区16个街道就业服务驿站全覆盖。为提升公共服务效率，对韦曲街办（韦曲党群服务中心站）、郭杜街办（万科城2期）2个家门口就业服务驿站拟聘请第三方进行运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采购包1（长安区家门口驿站购买第三方专业化运营服务项目）：属于专门面向中小企业采购。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3、税收缴纳证明：提供已缴纳的2024年7月起任意一个月的纳税证明或完税证明，纳税证明或完税证明上应有代收机构或税务机关的公章或业务专用章。依法免税的供应商应提供相关文件证明；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纳的2024年7月起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8、本项目不接受联合体磋商：本项目不接受联合体磋商（提供书面声明材料）。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西安市长安区劳动就业管理服务中心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西安市长安区韦曲南街250号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029-85298009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陕西信悦诚招标有限公司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陕西省西安市未央区笃信路与昭远门路交叉口东北260米碧桂园云府52幢2单元701室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徐新颖、郭敏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17765052185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 〔2002〕1980号）、国家发展和改革委员会办公厅印发的《关于招标代理服务收费有关问题的通知》（发改办价格〔2003〕857号）的有关规定。 公司名称：陕西信悦诚招标有限公司 账号：72050078801800001493 开户行：上海浦东发展银行股份有限公司西安未央路支行。 公司邮箱：shanxixinyuecheng@163.com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西安市长安区劳动就业管理服务中心</w:t>
      </w:r>
      <w:r>
        <w:rPr>
          <w:rFonts w:ascii="仿宋_GB2312" w:hAnsi="仿宋_GB2312" w:cs="仿宋_GB2312" w:eastAsia="仿宋_GB2312"/>
        </w:rPr>
        <w:t>和</w:t>
      </w:r>
      <w:r>
        <w:rPr>
          <w:rFonts w:ascii="仿宋_GB2312" w:hAnsi="仿宋_GB2312" w:cs="仿宋_GB2312" w:eastAsia="仿宋_GB2312"/>
        </w:rPr>
        <w:t>陕西信悦诚招标有限公司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西安市长安区劳动就业管理服务中心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陕西信悦诚招标有限公司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西安市长安区劳动就业管理服务中心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陕西信悦诚招标有限公司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陕西信悦诚招标有限公司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陕西信悦诚招标有限公司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陕西信悦诚招标有限公司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联系人：徐新颖、郭敏</w:t>
      </w:r>
    </w:p>
    <w:p>
      <w:pPr>
        <w:pStyle w:val="null3"/>
      </w:pPr>
      <w:r>
        <w:rPr>
          <w:rFonts w:ascii="仿宋_GB2312" w:hAnsi="仿宋_GB2312" w:cs="仿宋_GB2312" w:eastAsia="仿宋_GB2312"/>
        </w:rPr>
        <w:t>联系电话：17765052185</w:t>
      </w:r>
    </w:p>
    <w:p>
      <w:pPr>
        <w:pStyle w:val="null3"/>
      </w:pPr>
      <w:r>
        <w:rPr>
          <w:rFonts w:ascii="仿宋_GB2312" w:hAnsi="仿宋_GB2312" w:cs="仿宋_GB2312" w:eastAsia="仿宋_GB2312"/>
        </w:rPr>
        <w:t>地址：陕西省西安市未央区笃信路与昭远门路交叉口东北260米碧桂园云府52幢2单元701室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家门口就业服务驿站旨在为辖区各类求职群体提供安全可靠的就业机会，同时促进产业发展和用工保障。2024年建立并投入使用19个标准化“家门口”就业服务站，实现了辖区16个街道就业服务驿站全覆盖。为提升公共服务效率，对韦曲街办（韦曲党群服务中心站）、郭杜街办（万科城2期）2个家门口就业服务驿站拟聘请第三方进行运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长安区家门口驿站购买第三方专业化运营服务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标的名称：长安区家门口驿站购买第三方专业化运营服务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一、项目概述</w:t>
            </w:r>
          </w:p>
          <w:p>
            <w:pPr>
              <w:pStyle w:val="null3"/>
              <w:jc w:val="both"/>
            </w:pPr>
            <w:r>
              <w:rPr>
                <w:rFonts w:ascii="仿宋_GB2312" w:hAnsi="仿宋_GB2312" w:cs="仿宋_GB2312" w:eastAsia="仿宋_GB2312"/>
              </w:rPr>
              <w:t>长安区家门口就业服务驿站旨在为辖区各类求职群体提供安全可靠的就业机会，同时促进产业发展和用工保障。</w:t>
            </w:r>
            <w:r>
              <w:rPr>
                <w:rFonts w:ascii="仿宋_GB2312" w:hAnsi="仿宋_GB2312" w:cs="仿宋_GB2312" w:eastAsia="仿宋_GB2312"/>
              </w:rPr>
              <w:t>2024年建立并投入使用19个标准化“家门口”就业服务站，实现了辖区16个街道就业服务驿站全覆盖。为提升公共服务效率，对韦曲街办（韦曲党群服务中心站）、郭杜街办（万科城2期）2个家门口就业服务驿站拟聘请第三方进行运营。</w:t>
            </w:r>
          </w:p>
          <w:p>
            <w:pPr>
              <w:pStyle w:val="null3"/>
              <w:jc w:val="both"/>
            </w:pPr>
            <w:r>
              <w:rPr>
                <w:rFonts w:ascii="仿宋_GB2312" w:hAnsi="仿宋_GB2312" w:cs="仿宋_GB2312" w:eastAsia="仿宋_GB2312"/>
                <w:b/>
              </w:rPr>
              <w:t>二、服务内容</w:t>
            </w:r>
          </w:p>
          <w:p>
            <w:pPr>
              <w:pStyle w:val="null3"/>
              <w:jc w:val="both"/>
            </w:pPr>
            <w:r>
              <w:rPr>
                <w:rFonts w:ascii="仿宋_GB2312" w:hAnsi="仿宋_GB2312" w:cs="仿宋_GB2312" w:eastAsia="仿宋_GB2312"/>
              </w:rPr>
              <w:t>1、依托重点驿站，做好个人政策咨询、岗位咨询、招聘会资讯推荐、创业服务、培训咨询登记等各类就业创业服务需求登记和企业招聘岗位信息采集，做好匹配推荐工作，并建好服务台账。</w:t>
            </w:r>
          </w:p>
          <w:p>
            <w:pPr>
              <w:pStyle w:val="null3"/>
              <w:jc w:val="both"/>
            </w:pPr>
            <w:r>
              <w:rPr>
                <w:rFonts w:ascii="仿宋_GB2312" w:hAnsi="仿宋_GB2312" w:cs="仿宋_GB2312" w:eastAsia="仿宋_GB2312"/>
              </w:rPr>
              <w:t>2、建立求职者信息库，个人摸排信息不少于1000人，岗位推荐不少于3次/人。</w:t>
            </w:r>
          </w:p>
          <w:p>
            <w:pPr>
              <w:pStyle w:val="null3"/>
              <w:jc w:val="both"/>
            </w:pPr>
            <w:r>
              <w:rPr>
                <w:rFonts w:ascii="仿宋_GB2312" w:hAnsi="仿宋_GB2312" w:cs="仿宋_GB2312" w:eastAsia="仿宋_GB2312"/>
              </w:rPr>
              <w:t>3、建立企业招聘信息库，摸排企业不少于300家，合同期内挖掘招聘岗位不少于600个。</w:t>
            </w:r>
          </w:p>
          <w:p>
            <w:pPr>
              <w:pStyle w:val="null3"/>
              <w:jc w:val="both"/>
            </w:pPr>
            <w:r>
              <w:rPr>
                <w:rFonts w:ascii="仿宋_GB2312" w:hAnsi="仿宋_GB2312" w:cs="仿宋_GB2312" w:eastAsia="仿宋_GB2312"/>
              </w:rPr>
              <w:t>4、开展进社区、进企业、进商圈等宣传推广活动12场。</w:t>
            </w:r>
          </w:p>
          <w:p>
            <w:pPr>
              <w:pStyle w:val="null3"/>
              <w:jc w:val="both"/>
            </w:pPr>
            <w:r>
              <w:rPr>
                <w:rFonts w:ascii="仿宋_GB2312" w:hAnsi="仿宋_GB2312" w:cs="仿宋_GB2312" w:eastAsia="仿宋_GB2312"/>
              </w:rPr>
              <w:t>5、帮助求职者了解职业状况，掌握求职方法、求职技巧、明确就业或择业方向开展职业指导或技能培训活动不少于12场。</w:t>
            </w:r>
          </w:p>
          <w:p>
            <w:pPr>
              <w:pStyle w:val="null3"/>
              <w:jc w:val="both"/>
            </w:pPr>
            <w:r>
              <w:rPr>
                <w:rFonts w:ascii="仿宋_GB2312" w:hAnsi="仿宋_GB2312" w:cs="仿宋_GB2312" w:eastAsia="仿宋_GB2312"/>
              </w:rPr>
              <w:t>7、依托驿站定期或不定期开展小而美、专而精的“人岗对接”“送才入企”“岗位体验”等特色活动活动不少于12场。</w:t>
            </w:r>
          </w:p>
          <w:p>
            <w:pPr>
              <w:pStyle w:val="null3"/>
              <w:jc w:val="both"/>
            </w:pPr>
            <w:r>
              <w:rPr>
                <w:rFonts w:ascii="仿宋_GB2312" w:hAnsi="仿宋_GB2312" w:cs="仿宋_GB2312" w:eastAsia="仿宋_GB2312"/>
              </w:rPr>
              <w:t>8、收集整理岗位信息、设计多元互动环节开展直播活动不少于10场。</w:t>
            </w:r>
          </w:p>
          <w:p>
            <w:pPr>
              <w:pStyle w:val="null3"/>
              <w:jc w:val="both"/>
            </w:pPr>
            <w:r>
              <w:rPr>
                <w:rFonts w:ascii="仿宋_GB2312" w:hAnsi="仿宋_GB2312" w:cs="仿宋_GB2312" w:eastAsia="仿宋_GB2312"/>
              </w:rPr>
              <w:t>9、开展线上招聘会活动不少于8场。</w:t>
            </w:r>
          </w:p>
          <w:p>
            <w:pPr>
              <w:pStyle w:val="null3"/>
              <w:jc w:val="both"/>
            </w:pPr>
            <w:r>
              <w:rPr>
                <w:rFonts w:ascii="仿宋_GB2312" w:hAnsi="仿宋_GB2312" w:cs="仿宋_GB2312" w:eastAsia="仿宋_GB2312"/>
                <w:b/>
              </w:rPr>
              <w:t>三、服务要求</w:t>
            </w:r>
          </w:p>
          <w:p>
            <w:pPr>
              <w:pStyle w:val="null3"/>
              <w:jc w:val="both"/>
            </w:pPr>
            <w:r>
              <w:rPr>
                <w:rFonts w:ascii="仿宋_GB2312" w:hAnsi="仿宋_GB2312" w:cs="仿宋_GB2312" w:eastAsia="仿宋_GB2312"/>
              </w:rPr>
              <w:t>1、组建专业化服务团队从事此项工作：团队中不少于3人从事过人力资源、行政招聘、就业服务等相关工作；集中性就业指导课程，需配备资深职业指导师进行授课。</w:t>
            </w:r>
          </w:p>
          <w:p>
            <w:pPr>
              <w:pStyle w:val="null3"/>
              <w:jc w:val="both"/>
            </w:pPr>
            <w:r>
              <w:rPr>
                <w:rFonts w:ascii="仿宋_GB2312" w:hAnsi="仿宋_GB2312" w:cs="仿宋_GB2312" w:eastAsia="仿宋_GB2312"/>
              </w:rPr>
              <w:t>2、制定服务流程：针对各项工作制定标准化服务流程，以便于开展工作。</w:t>
            </w:r>
          </w:p>
          <w:p>
            <w:pPr>
              <w:pStyle w:val="null3"/>
              <w:jc w:val="both"/>
            </w:pPr>
            <w:r>
              <w:rPr>
                <w:rFonts w:ascii="仿宋_GB2312" w:hAnsi="仿宋_GB2312" w:cs="仿宋_GB2312" w:eastAsia="仿宋_GB2312"/>
              </w:rPr>
              <w:t>3、及时响应服务需求：对通过就业驿站二维码、窗口登记、电话咨询等各种途径寻求就业服务的人员，应在3个工作日内予以对接，7个工作日内最少提供一次就业服务，半月内提供不少于三次精准岗位推荐服务，或培训专业推荐。</w:t>
            </w:r>
          </w:p>
          <w:p>
            <w:pPr>
              <w:pStyle w:val="null3"/>
              <w:jc w:val="both"/>
            </w:pPr>
            <w:r>
              <w:rPr>
                <w:rFonts w:ascii="仿宋_GB2312" w:hAnsi="仿宋_GB2312" w:cs="仿宋_GB2312" w:eastAsia="仿宋_GB2312"/>
              </w:rPr>
              <w:t>4、严格把关岗位真实性，核实就业岗位真伪，严禁发布虚假招聘，防范各类就业陷阱。</w:t>
            </w:r>
          </w:p>
          <w:p>
            <w:pPr>
              <w:pStyle w:val="null3"/>
              <w:jc w:val="both"/>
            </w:pPr>
            <w:r>
              <w:rPr>
                <w:rFonts w:ascii="仿宋_GB2312" w:hAnsi="仿宋_GB2312" w:cs="仿宋_GB2312" w:eastAsia="仿宋_GB2312"/>
              </w:rPr>
              <w:t>5、服务留痕及成效反馈：留存服务台账、方案、宣传佐证资料和活动现场照片等佐证资料，服务情况清晰可查，保证提供的服务对象100%对接。及时反馈就业服务开展情况和工作成效。</w:t>
            </w:r>
          </w:p>
          <w:p>
            <w:pPr>
              <w:pStyle w:val="null3"/>
              <w:jc w:val="both"/>
            </w:pPr>
            <w:r>
              <w:rPr>
                <w:rFonts w:ascii="仿宋_GB2312" w:hAnsi="仿宋_GB2312" w:cs="仿宋_GB2312" w:eastAsia="仿宋_GB2312"/>
              </w:rPr>
              <w:t>6、数据统计及分析：日常工作中及时做好就业数据统计，定期复盘就业工作开展情况并进行各项数据分析，根据分析结果调整服务策略。</w:t>
            </w:r>
          </w:p>
          <w:p>
            <w:pPr>
              <w:pStyle w:val="null3"/>
              <w:jc w:val="both"/>
            </w:pPr>
            <w:r>
              <w:rPr>
                <w:rFonts w:ascii="仿宋_GB2312" w:hAnsi="仿宋_GB2312" w:cs="仿宋_GB2312" w:eastAsia="仿宋_GB2312"/>
              </w:rPr>
              <w:t>7、保密工作：要严格落实个人信息保护法要求，服务过程中涉及的所有数据仅用于就业帮扶工作，未经授权不能用于第三方和其他商业用途。</w:t>
            </w:r>
          </w:p>
          <w:p>
            <w:pPr>
              <w:pStyle w:val="null3"/>
              <w:jc w:val="both"/>
            </w:pPr>
            <w:r>
              <w:rPr>
                <w:rFonts w:ascii="仿宋_GB2312" w:hAnsi="仿宋_GB2312" w:cs="仿宋_GB2312" w:eastAsia="仿宋_GB2312"/>
              </w:rPr>
              <w:t>8、禁止收费：本项目为公益性就业服务，严禁向用人单位和个人收取任何服务费用。</w:t>
            </w:r>
          </w:p>
          <w:p>
            <w:pPr>
              <w:pStyle w:val="null3"/>
              <w:jc w:val="both"/>
            </w:pPr>
            <w:r>
              <w:rPr>
                <w:rFonts w:ascii="仿宋_GB2312" w:hAnsi="仿宋_GB2312" w:cs="仿宋_GB2312" w:eastAsia="仿宋_GB2312"/>
                <w:b/>
              </w:rPr>
              <w:t>四、商务要求</w:t>
            </w:r>
          </w:p>
          <w:p>
            <w:pPr>
              <w:pStyle w:val="null3"/>
              <w:jc w:val="both"/>
            </w:pPr>
            <w:r>
              <w:rPr>
                <w:rFonts w:ascii="仿宋_GB2312" w:hAnsi="仿宋_GB2312" w:cs="仿宋_GB2312" w:eastAsia="仿宋_GB2312"/>
              </w:rPr>
              <w:t>（一）服务期限</w:t>
            </w:r>
          </w:p>
          <w:p>
            <w:pPr>
              <w:pStyle w:val="null3"/>
              <w:jc w:val="both"/>
            </w:pPr>
            <w:r>
              <w:rPr>
                <w:rFonts w:ascii="仿宋_GB2312" w:hAnsi="仿宋_GB2312" w:cs="仿宋_GB2312" w:eastAsia="仿宋_GB2312"/>
              </w:rPr>
              <w:t>自合同签订之日起一年。</w:t>
            </w:r>
          </w:p>
          <w:p>
            <w:pPr>
              <w:pStyle w:val="null3"/>
              <w:jc w:val="both"/>
            </w:pPr>
            <w:r>
              <w:rPr>
                <w:rFonts w:ascii="仿宋_GB2312" w:hAnsi="仿宋_GB2312" w:cs="仿宋_GB2312" w:eastAsia="仿宋_GB2312"/>
              </w:rPr>
              <w:t>（二）款项结算</w:t>
            </w:r>
          </w:p>
          <w:p>
            <w:pPr>
              <w:pStyle w:val="null3"/>
              <w:jc w:val="both"/>
            </w:pPr>
            <w:r>
              <w:rPr>
                <w:rFonts w:ascii="仿宋_GB2312" w:hAnsi="仿宋_GB2312" w:cs="仿宋_GB2312" w:eastAsia="仿宋_GB2312"/>
              </w:rPr>
              <w:t>合同签订后</w:t>
            </w:r>
            <w:r>
              <w:rPr>
                <w:rFonts w:ascii="仿宋_GB2312" w:hAnsi="仿宋_GB2312" w:cs="仿宋_GB2312" w:eastAsia="仿宋_GB2312"/>
              </w:rPr>
              <w:t>，达到付款条件起</w:t>
            </w:r>
            <w:r>
              <w:rPr>
                <w:rFonts w:ascii="仿宋_GB2312" w:hAnsi="仿宋_GB2312" w:cs="仿宋_GB2312" w:eastAsia="仿宋_GB2312"/>
              </w:rPr>
              <w:t>60</w:t>
            </w:r>
            <w:r>
              <w:rPr>
                <w:rFonts w:ascii="仿宋_GB2312" w:hAnsi="仿宋_GB2312" w:cs="仿宋_GB2312" w:eastAsia="仿宋_GB2312"/>
              </w:rPr>
              <w:t>日内，支付合同总金额的</w:t>
            </w:r>
            <w:r>
              <w:rPr>
                <w:rFonts w:ascii="仿宋_GB2312" w:hAnsi="仿宋_GB2312" w:cs="仿宋_GB2312" w:eastAsia="仿宋_GB2312"/>
              </w:rPr>
              <w:t>50</w:t>
            </w:r>
            <w:r>
              <w:rPr>
                <w:rFonts w:ascii="仿宋_GB2312" w:hAnsi="仿宋_GB2312" w:cs="仿宋_GB2312" w:eastAsia="仿宋_GB2312"/>
              </w:rPr>
              <w:t>.00%</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合同内容</w:t>
            </w:r>
            <w:r>
              <w:rPr>
                <w:rFonts w:ascii="仿宋_GB2312" w:hAnsi="仿宋_GB2312" w:cs="仿宋_GB2312" w:eastAsia="仿宋_GB2312"/>
              </w:rPr>
              <w:t>完成</w:t>
            </w:r>
            <w:r>
              <w:rPr>
                <w:rFonts w:ascii="仿宋_GB2312" w:hAnsi="仿宋_GB2312" w:cs="仿宋_GB2312" w:eastAsia="仿宋_GB2312"/>
              </w:rPr>
              <w:t>50%经甲方验收</w:t>
            </w:r>
            <w:r>
              <w:rPr>
                <w:rFonts w:ascii="仿宋_GB2312" w:hAnsi="仿宋_GB2312" w:cs="仿宋_GB2312" w:eastAsia="仿宋_GB2312"/>
              </w:rPr>
              <w:t>后</w:t>
            </w:r>
            <w:r>
              <w:rPr>
                <w:rFonts w:ascii="仿宋_GB2312" w:hAnsi="仿宋_GB2312" w:cs="仿宋_GB2312" w:eastAsia="仿宋_GB2312"/>
              </w:rPr>
              <w:t>，达到付款条件起</w:t>
            </w:r>
            <w:r>
              <w:rPr>
                <w:rFonts w:ascii="仿宋_GB2312" w:hAnsi="仿宋_GB2312" w:cs="仿宋_GB2312" w:eastAsia="仿宋_GB2312"/>
              </w:rPr>
              <w:t>60</w:t>
            </w:r>
            <w:r>
              <w:rPr>
                <w:rFonts w:ascii="仿宋_GB2312" w:hAnsi="仿宋_GB2312" w:cs="仿宋_GB2312" w:eastAsia="仿宋_GB2312"/>
              </w:rPr>
              <w:t>日内，支付合同总金额的</w:t>
            </w:r>
            <w:r>
              <w:rPr>
                <w:rFonts w:ascii="仿宋_GB2312" w:hAnsi="仿宋_GB2312" w:cs="仿宋_GB2312" w:eastAsia="仿宋_GB2312"/>
              </w:rPr>
              <w:t>40</w:t>
            </w:r>
            <w:r>
              <w:rPr>
                <w:rFonts w:ascii="仿宋_GB2312" w:hAnsi="仿宋_GB2312" w:cs="仿宋_GB2312" w:eastAsia="仿宋_GB2312"/>
              </w:rPr>
              <w:t>.00%</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合同期结束</w:t>
            </w:r>
            <w:r>
              <w:rPr>
                <w:rFonts w:ascii="仿宋_GB2312" w:hAnsi="仿宋_GB2312" w:cs="仿宋_GB2312" w:eastAsia="仿宋_GB2312"/>
              </w:rPr>
              <w:t>验收</w:t>
            </w:r>
            <w:r>
              <w:rPr>
                <w:rFonts w:ascii="仿宋_GB2312" w:hAnsi="仿宋_GB2312" w:cs="仿宋_GB2312" w:eastAsia="仿宋_GB2312"/>
              </w:rPr>
              <w:t>完成</w:t>
            </w:r>
            <w:r>
              <w:rPr>
                <w:rFonts w:ascii="仿宋_GB2312" w:hAnsi="仿宋_GB2312" w:cs="仿宋_GB2312" w:eastAsia="仿宋_GB2312"/>
              </w:rPr>
              <w:t>后</w:t>
            </w:r>
            <w:r>
              <w:rPr>
                <w:rFonts w:ascii="仿宋_GB2312" w:hAnsi="仿宋_GB2312" w:cs="仿宋_GB2312" w:eastAsia="仿宋_GB2312"/>
              </w:rPr>
              <w:t>，达到付款条件起</w:t>
            </w:r>
            <w:r>
              <w:rPr>
                <w:rFonts w:ascii="仿宋_GB2312" w:hAnsi="仿宋_GB2312" w:cs="仿宋_GB2312" w:eastAsia="仿宋_GB2312"/>
              </w:rPr>
              <w:t>60</w:t>
            </w:r>
            <w:r>
              <w:rPr>
                <w:rFonts w:ascii="仿宋_GB2312" w:hAnsi="仿宋_GB2312" w:cs="仿宋_GB2312" w:eastAsia="仿宋_GB2312"/>
              </w:rPr>
              <w:t>日内，支付合同总金额的</w:t>
            </w:r>
            <w:r>
              <w:rPr>
                <w:rFonts w:ascii="仿宋_GB2312" w:hAnsi="仿宋_GB2312" w:cs="仿宋_GB2312" w:eastAsia="仿宋_GB2312"/>
              </w:rPr>
              <w:t>10</w:t>
            </w:r>
            <w:r>
              <w:rPr>
                <w:rFonts w:ascii="仿宋_GB2312" w:hAnsi="仿宋_GB2312" w:cs="仿宋_GB2312" w:eastAsia="仿宋_GB2312"/>
              </w:rPr>
              <w:t>.00%</w:t>
            </w:r>
            <w:r>
              <w:rPr>
                <w:rFonts w:ascii="仿宋_GB2312" w:hAnsi="仿宋_GB2312" w:cs="仿宋_GB2312" w:eastAsia="仿宋_GB2312"/>
              </w:rPr>
              <w:t>。</w:t>
            </w:r>
          </w:p>
          <w:p>
            <w:pPr>
              <w:pStyle w:val="null3"/>
              <w:jc w:val="both"/>
            </w:pPr>
            <w:r>
              <w:rPr>
                <w:rFonts w:ascii="仿宋_GB2312" w:hAnsi="仿宋_GB2312" w:cs="仿宋_GB2312" w:eastAsia="仿宋_GB2312"/>
              </w:rPr>
              <w:t>采购人付款前，成交供应商须向采购人提供符合采购人要求的增值税普通发票，若成交供应商提供的发票不符合采购人要求，采购人有权拒绝付款且不承担逾期付款责任。</w:t>
            </w:r>
          </w:p>
          <w:p>
            <w:pPr>
              <w:pStyle w:val="null3"/>
              <w:jc w:val="both"/>
            </w:pPr>
            <w:r>
              <w:rPr>
                <w:rFonts w:ascii="仿宋_GB2312" w:hAnsi="仿宋_GB2312" w:cs="仿宋_GB2312" w:eastAsia="仿宋_GB2312"/>
              </w:rPr>
              <w:t>成交供应商应保证其提供的银行账户准确有效，如发生变更，应提前十个工作日书面通知采购人。否则因成交供应商银行账户的不准确性而给双方造成任何损失和责任，均由成交供应商承担赔偿责任。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合同内容完成50%经甲方验收后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合同期结束验收完成后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提供已缴纳的2024年7月起任意一个月的纳税证明或完税证明，纳税证明或完税证明上应有代收机构或税务机关的公章或业务专用章。依法免税的供应商应提供相关文件证明；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纳的2024年7月起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法定代表人身份证明与法定代表人授权委托书.docx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法定代表人身份证明与法定代表人授权委托书.docx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法定代表人身份证明与法定代表人授权委托书.docx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针对本项目的工作目标；②针对本项目的工作方法③针对本项目的工作内容④针对本项目的技术要求等。评审依据：每一项内容描述详细、内容全面，得4分，①～④项合计得16分。内容①～④项任意一项缺项扣4分，扣完为止；内容①～④项里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评审内容：①针对本项目提供组织框架；②人员保障措施； ③岗位职责。 评审依据：每一项内容描述详细、内容全面，得4分，①～③项合计得12分。 内容①～③项任意一项缺项扣4分，扣完为止；内容①～③项里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评审内容：①提供针对本项目各环节进度保证措施。②人员安排措施 评审依据：每一项内容描述详细，内容切实可行符合项目实际内容得4分，①～②项合计得8分。内容①～②项任意一项缺项扣4分，扣完为止；内容①～②项里有一项内容缺陷（缺陷是指：内容不详细具体、条理不清晰、描述过于简单、与项目特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供应商须提供本项目工作中的重点和难点分析</w:t>
            </w:r>
          </w:p>
        </w:tc>
        <w:tc>
          <w:tcPr>
            <w:tcW w:type="dxa" w:w="2492"/>
          </w:tcPr>
          <w:p>
            <w:pPr>
              <w:pStyle w:val="null3"/>
            </w:pPr>
            <w:r>
              <w:rPr>
                <w:rFonts w:ascii="仿宋_GB2312" w:hAnsi="仿宋_GB2312" w:cs="仿宋_GB2312" w:eastAsia="仿宋_GB2312"/>
              </w:rPr>
              <w:t>评审内容：①重点和难点分析。②解决措施或办法。 评审依据：每一项内容描述详细，内容切实可行符合项目实际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评审内容：①本项目服务的管理承诺②提供确保服务期限及进度的承诺③针对服务工作中的常见问题进行梳理，向采购人提供良好的解决方案及优化方案。 评审依据：每一项内容描述详细，内容切实可行符合项目实际内容得4分，①～③项合计得12分。内容①～③项任意一项缺项扣4分，扣完为止；内容①～③项里有一项内容缺陷（缺陷是指：内容不详细具体、条理不清晰、描述过于简单、与项目特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评审内容：①服务质量控制方案②服务工作质量保障具体措施。 评审依据：每一项内容描述详细，内容切实可行符合项目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评审内容：①根据拟投入的其他服务人员数量②根据拟投入的其他人员年龄、专业经验、资格/职称等情况。 评审标准：每一项内容描述详细内容全面，得3分，①～②项合计得6分。 内容①～②项任意一项缺项扣3分，扣完为止；内容①～②项里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评审内容：①因特殊紧急情况评价工作时限响应方案②有特殊的应急服务方案及补救措施。 评审依据：每一项内容描述详细，内容切实可行符合项目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保密措施、廉洁从业措施</w:t>
            </w:r>
          </w:p>
        </w:tc>
        <w:tc>
          <w:tcPr>
            <w:tcW w:type="dxa" w:w="2492"/>
          </w:tcPr>
          <w:p>
            <w:pPr>
              <w:pStyle w:val="null3"/>
            </w:pPr>
            <w:r>
              <w:rPr>
                <w:rFonts w:ascii="仿宋_GB2312" w:hAnsi="仿宋_GB2312" w:cs="仿宋_GB2312" w:eastAsia="仿宋_GB2312"/>
              </w:rPr>
              <w:t>评审内容：①保密管理制度②具体保密措施③廉洁从业措施评审依据：每一项内容描述详细，内容切实可行符合项目实际内容得4分，①～③项合计得12分。内容①～③项任意一项缺项扣4分，扣完为止；内容①～③项里有一项内容缺陷（缺陷是指：内容不详细具体、条理不清晰、描述过于简单、与项目特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2022年7月1日起至今，供应商承接类似服务项目的业绩，每提供一份有效业绩得3分 ，最多得6分。（合同扫描件或中标通知书）。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详见附件：法定代表人身份证明与法定代表人授权委托书.docx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