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版本号：SXZHZB2025-ZCO22-CS20250730001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社区治理和服务智慧化平台建设项目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SXZHZB2025-ZCO22-CS</w:t>
      </w:r>
      <w:r>
        <w:br/>
      </w:r>
      <w:r>
        <w:br/>
      </w:r>
      <w:r>
        <w:br/>
      </w:r>
    </w:p>
    <w:p>
      <w:pPr>
        <w:pStyle w:val="null3"/>
        <w:jc w:val="center"/>
        <w:outlineLvl w:val="2"/>
      </w:pPr>
      <w:r>
        <w:rPr>
          <w:rFonts w:ascii="仿宋_GB2312" w:hAnsi="仿宋_GB2312" w:cs="仿宋_GB2312" w:eastAsia="仿宋_GB2312"/>
          <w:sz w:val="28"/>
          <w:b/>
        </w:rPr>
        <w:t>西安市长安区韦曲街道办事处</w:t>
      </w:r>
    </w:p>
    <w:p>
      <w:pPr>
        <w:pStyle w:val="null3"/>
        <w:jc w:val="center"/>
        <w:outlineLvl w:val="2"/>
      </w:pPr>
      <w:r>
        <w:rPr>
          <w:rFonts w:ascii="仿宋_GB2312" w:hAnsi="仿宋_GB2312" w:cs="仿宋_GB2312" w:eastAsia="仿宋_GB2312"/>
          <w:sz w:val="28"/>
          <w:b/>
        </w:rPr>
        <w:t>陕西纵横项目管理有限公司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陕西纵横项目管理有限公司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西安市长安区韦曲街道办事处</w:t>
      </w:r>
      <w:r>
        <w:rPr>
          <w:rFonts w:ascii="仿宋_GB2312" w:hAnsi="仿宋_GB2312" w:cs="仿宋_GB2312" w:eastAsia="仿宋_GB2312"/>
        </w:rPr>
        <w:t>委托，拟对</w:t>
      </w:r>
      <w:r>
        <w:rPr>
          <w:rFonts w:ascii="仿宋_GB2312" w:hAnsi="仿宋_GB2312" w:cs="仿宋_GB2312" w:eastAsia="仿宋_GB2312"/>
        </w:rPr>
        <w:t>社区治理和服务智慧化平台建设项目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SXZHZB2025-ZCO22-CS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社区治理和服务智慧化平台建设项目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以西安市长安区韦曲街道办事处为试点街道，打造具有示范效应的“党建引领基层治理社区超级服务平台”标杆案例，推进基层治理和服务创新，建立社会各界力量参与“共建共治共享”的现代基层治理和服务保障体系，形成可复制的推广经验，增强人民群众的获得感、幸福感、安全感。</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 ：法定代表人授权书（附法定代表人、被授权代表身份证复印件）（法定代表人直接参加磋商，须提供法定代表人身份证明）；</w:t>
      </w:r>
    </w:p>
    <w:p>
      <w:pPr>
        <w:pStyle w:val="null3"/>
      </w:pPr>
      <w:r>
        <w:rPr>
          <w:rFonts w:ascii="仿宋_GB2312" w:hAnsi="仿宋_GB2312" w:cs="仿宋_GB2312" w:eastAsia="仿宋_GB2312"/>
        </w:rPr>
        <w:t>2、信用记录 ：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3、联合体 ：本项目不接受联合体磋商。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西安市长安区韦曲街道办事处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西安市长安区新华街275号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029-85291220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陕西纵横项目管理有限公司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西安市经开区凤城五路赛高街区A座902室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029-86252018（转804）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以成交金额为基数，参照国家计委颁发的《招标代理服务收费管理暂行办法》（计价格〔2002〕1980号）和财政部颁发的《政府采购代理机构管理暂行办法》(财库〔2018〕2号）的有关规定执行。2、代理服务费由成交供应商支付，在领取《成交通知书》前，由成交供应商一次性支付给陕西纵横项目管理有限公司。3、代理服务费缴纳账户：开户名称：陕西纵横项目管理有限公司开户银行：浙商银行股份有限公司西安未央路支行账号：7910000610120100029478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西安市长安区韦曲街道办事处</w:t>
      </w:r>
      <w:r>
        <w:rPr>
          <w:rFonts w:ascii="仿宋_GB2312" w:hAnsi="仿宋_GB2312" w:cs="仿宋_GB2312" w:eastAsia="仿宋_GB2312"/>
        </w:rPr>
        <w:t>和</w:t>
      </w:r>
      <w:r>
        <w:rPr>
          <w:rFonts w:ascii="仿宋_GB2312" w:hAnsi="仿宋_GB2312" w:cs="仿宋_GB2312" w:eastAsia="仿宋_GB2312"/>
        </w:rPr>
        <w:t>陕西纵横项目管理有限公司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西安市长安区韦曲街道办事处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陕西纵横项目管理有限公司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西安市长安区韦曲街道办事处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陕西纵横项目管理有限公司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联系电话：029-86252018（转804）</w:t>
      </w:r>
    </w:p>
    <w:p>
      <w:pPr>
        <w:pStyle w:val="null3"/>
      </w:pPr>
      <w:r>
        <w:rPr>
          <w:rFonts w:ascii="仿宋_GB2312" w:hAnsi="仿宋_GB2312" w:cs="仿宋_GB2312" w:eastAsia="仿宋_GB2312"/>
        </w:rPr>
        <w:t>地址：西安市经开区凤城五路赛高街区A座902室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以西安市长安区韦曲街道办事处为试点街道，打造具有示范效应的“党建引领基层治理社区超级服务平台”标杆案例，推进基层治理和服务创新，建立社会各界力量参与“共建共治共享”的现代基层治理和服务保障体系，形成可复制的推广经验，增强人民群众的获得感、幸福感、安全感。</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社区治理和服务智慧化平台建设项目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标的名称：社区治理和服务智慧化平台建设项目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19"/>
            </w:pPr>
            <w:r>
              <w:rPr>
                <w:rFonts w:ascii="仿宋_GB2312" w:hAnsi="仿宋_GB2312" w:cs="仿宋_GB2312" w:eastAsia="仿宋_GB2312"/>
              </w:rPr>
              <w:t>项目进度及阶段目标</w:t>
            </w:r>
          </w:p>
          <w:p>
            <w:pPr>
              <w:pStyle w:val="null3"/>
            </w:pPr>
            <w:r>
              <w:rPr>
                <w:rFonts w:ascii="仿宋_GB2312" w:hAnsi="仿宋_GB2312" w:cs="仿宋_GB2312" w:eastAsia="仿宋_GB2312"/>
              </w:rPr>
              <w:t>1.服务期限：自合同签订之日起一年。平台维护期限：自合同签订之日起三年。</w:t>
            </w:r>
          </w:p>
          <w:p>
            <w:pPr>
              <w:pStyle w:val="null3"/>
            </w:pPr>
            <w:r>
              <w:rPr>
                <w:rFonts w:ascii="仿宋_GB2312" w:hAnsi="仿宋_GB2312" w:cs="仿宋_GB2312" w:eastAsia="仿宋_GB2312"/>
              </w:rPr>
              <w:t>2.项目实施地点：由采购人及成交供应商双方共同确认试点社区。</w:t>
            </w:r>
          </w:p>
          <w:p>
            <w:pPr>
              <w:pStyle w:val="null3"/>
            </w:pPr>
            <w:r>
              <w:rPr>
                <w:rFonts w:ascii="仿宋_GB2312" w:hAnsi="仿宋_GB2312" w:cs="仿宋_GB2312" w:eastAsia="仿宋_GB2312"/>
              </w:rPr>
              <w:t>3.项目进度及阶段目标：</w:t>
            </w:r>
          </w:p>
          <w:p>
            <w:pPr>
              <w:pStyle w:val="null3"/>
            </w:pPr>
            <w:r>
              <w:rPr>
                <w:rFonts w:ascii="仿宋_GB2312" w:hAnsi="仿宋_GB2312" w:cs="仿宋_GB2312" w:eastAsia="仿宋_GB2312"/>
              </w:rPr>
              <w:t>1）第一阶段-准备阶段：</w:t>
            </w:r>
          </w:p>
          <w:p>
            <w:pPr>
              <w:pStyle w:val="null3"/>
            </w:pPr>
            <w:r>
              <w:rPr>
                <w:rFonts w:ascii="仿宋_GB2312" w:hAnsi="仿宋_GB2312" w:cs="仿宋_GB2312" w:eastAsia="仿宋_GB2312"/>
              </w:rPr>
              <w:t>为期3—4个月。成立试点街道的平台运营专班和招商专班，完成社区超级服务平台APP的上架技术部署，完成试点街道专班和试点社区各项培训和技能准备工作。完成“优秀本地企业进小区”第一阶段的招商工作。</w:t>
            </w:r>
          </w:p>
          <w:p>
            <w:pPr>
              <w:pStyle w:val="null3"/>
            </w:pPr>
            <w:r>
              <w:rPr>
                <w:rFonts w:ascii="仿宋_GB2312" w:hAnsi="仿宋_GB2312" w:cs="仿宋_GB2312" w:eastAsia="仿宋_GB2312"/>
              </w:rPr>
              <w:t>2）第二阶段-试点阶段：</w:t>
            </w:r>
          </w:p>
          <w:p>
            <w:pPr>
              <w:pStyle w:val="null3"/>
            </w:pPr>
            <w:r>
              <w:rPr>
                <w:rFonts w:ascii="仿宋_GB2312" w:hAnsi="仿宋_GB2312" w:cs="仿宋_GB2312" w:eastAsia="仿宋_GB2312"/>
              </w:rPr>
              <w:t>为期3—9个月。在试点街道下辖的5个社区先行试点社区超级服务平台。</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218"/>
            </w:pPr>
            <w:r>
              <w:rPr>
                <w:rFonts w:ascii="仿宋_GB2312" w:hAnsi="仿宋_GB2312" w:cs="仿宋_GB2312" w:eastAsia="仿宋_GB2312"/>
              </w:rPr>
              <w:t>（一）部署并上线社区超级服务平台APP。</w:t>
            </w:r>
          </w:p>
          <w:p>
            <w:pPr>
              <w:pStyle w:val="null3"/>
            </w:pPr>
            <w:r>
              <w:rPr>
                <w:rFonts w:ascii="仿宋_GB2312" w:hAnsi="仿宋_GB2312" w:cs="仿宋_GB2312" w:eastAsia="仿宋_GB2312"/>
              </w:rPr>
              <w:t>部署并上线社区超级服务平台APP，平台角色及功能说明见附件。由供应商负责维护平台在技术层面的正常运行并符合国家相关的合规要求，包括bug修复、系统升级等，以确保试点的五个社区能够正常使用。</w:t>
            </w:r>
          </w:p>
          <w:p>
            <w:pPr>
              <w:pStyle w:val="null3"/>
            </w:pPr>
            <w:r>
              <w:rPr>
                <w:rFonts w:ascii="仿宋_GB2312" w:hAnsi="仿宋_GB2312" w:cs="仿宋_GB2312" w:eastAsia="仿宋_GB2312"/>
              </w:rPr>
              <w:t>（二）建立试点街道平台运营及招商工作专班。</w:t>
            </w:r>
          </w:p>
          <w:p>
            <w:pPr>
              <w:pStyle w:val="null3"/>
            </w:pPr>
            <w:r>
              <w:rPr>
                <w:rFonts w:ascii="仿宋_GB2312" w:hAnsi="仿宋_GB2312" w:cs="仿宋_GB2312" w:eastAsia="仿宋_GB2312"/>
              </w:rPr>
              <w:t>供应商指导采购人成立两个街道工作专班，运营专班和招商专班。运营专班和招商专班的工作内容由供应商出具方案，经采购人同意后进行实施。其中，运营专班全职人员3人，负责平台各项运营工作的数据统计、业务培训、业务督导、品牌化建设等，招商专班全职人员3人，负责平台“优秀本地企业进小区”的招商工作。后续全区推广阶段，根据实际情况增加人员。为确保专班人员的工作态度和工作能力能够胜任此次改革创新的要求，采购人支持供应商保留激励和更换专班人员的权利，采购人给与积极配合。</w:t>
            </w:r>
          </w:p>
          <w:p>
            <w:pPr>
              <w:pStyle w:val="null3"/>
            </w:pPr>
            <w:r>
              <w:rPr>
                <w:rFonts w:ascii="仿宋_GB2312" w:hAnsi="仿宋_GB2312" w:cs="仿宋_GB2312" w:eastAsia="仿宋_GB2312"/>
              </w:rPr>
              <w:t>（三）开展相关培训与技能准备。</w:t>
            </w:r>
          </w:p>
          <w:p>
            <w:pPr>
              <w:pStyle w:val="null3"/>
            </w:pPr>
            <w:r>
              <w:rPr>
                <w:rFonts w:ascii="仿宋_GB2312" w:hAnsi="仿宋_GB2312" w:cs="仿宋_GB2312" w:eastAsia="仿宋_GB2312"/>
              </w:rPr>
              <w:t>供应商负责培训和指导街道专班。包括《社区超级服务平台行动方案》内训、短视频制作技能内训、《工作任务及上分清单》培训、数据赛马表培训、APP前后台使用培训、样板楼栋楼栋长初选及培训、平台招商培训等。</w:t>
            </w:r>
          </w:p>
          <w:p>
            <w:pPr>
              <w:pStyle w:val="null3"/>
            </w:pPr>
            <w:r>
              <w:rPr>
                <w:rFonts w:ascii="仿宋_GB2312" w:hAnsi="仿宋_GB2312" w:cs="仿宋_GB2312" w:eastAsia="仿宋_GB2312"/>
              </w:rPr>
              <w:t>（四）实施引导社会各界力量参与“共建共治共享”党建引领基层治理平台的各项工作,重点打造标志性创新案例。</w:t>
            </w:r>
          </w:p>
          <w:p>
            <w:pPr>
              <w:pStyle w:val="null3"/>
            </w:pPr>
            <w:r>
              <w:rPr>
                <w:rFonts w:ascii="仿宋_GB2312" w:hAnsi="仿宋_GB2312" w:cs="仿宋_GB2312" w:eastAsia="仿宋_GB2312"/>
              </w:rPr>
              <w:t>（五）进行试点效果评估、经验总结及宣传推广。</w:t>
            </w:r>
          </w:p>
          <w:p>
            <w:pPr>
              <w:pStyle w:val="null3"/>
            </w:pPr>
            <w:r>
              <w:rPr>
                <w:rFonts w:ascii="仿宋_GB2312" w:hAnsi="仿宋_GB2312" w:cs="仿宋_GB2312" w:eastAsia="仿宋_GB2312"/>
              </w:rPr>
              <w:t>1.撰写核心工作的标准化操作指南。</w:t>
            </w:r>
          </w:p>
          <w:p>
            <w:pPr>
              <w:pStyle w:val="null3"/>
            </w:pPr>
            <w:r>
              <w:rPr>
                <w:rFonts w:ascii="仿宋_GB2312" w:hAnsi="仿宋_GB2312" w:cs="仿宋_GB2312" w:eastAsia="仿宋_GB2312"/>
              </w:rPr>
              <w:t>2.撰写优秀案例。</w:t>
            </w:r>
          </w:p>
          <w:p>
            <w:pPr>
              <w:pStyle w:val="null3"/>
            </w:pPr>
            <w:r>
              <w:rPr>
                <w:rFonts w:ascii="仿宋_GB2312" w:hAnsi="仿宋_GB2312" w:cs="仿宋_GB2312" w:eastAsia="仿宋_GB2312"/>
              </w:rPr>
              <w:t>3.成果展示，多方宣传。</w:t>
            </w:r>
          </w:p>
          <w:p>
            <w:pPr>
              <w:pStyle w:val="null3"/>
            </w:pPr>
            <w:r>
              <w:rPr>
                <w:rFonts w:ascii="仿宋_GB2312" w:hAnsi="仿宋_GB2312" w:cs="仿宋_GB2312" w:eastAsia="仿宋_GB2312"/>
              </w:rPr>
              <w:t>4.撰写试点阶段成果报告。</w:t>
            </w:r>
          </w:p>
          <w:p>
            <w:pPr>
              <w:pStyle w:val="null3"/>
            </w:pPr>
            <w:r>
              <w:rPr>
                <w:rFonts w:ascii="仿宋_GB2312" w:hAnsi="仿宋_GB2312" w:cs="仿宋_GB2312" w:eastAsia="仿宋_GB2312"/>
              </w:rPr>
              <w:t>5.领导调研和媒体报道。</w:t>
            </w:r>
          </w:p>
          <w:p>
            <w:pPr>
              <w:pStyle w:val="null3"/>
            </w:pPr>
            <w:r>
              <w:rPr>
                <w:rFonts w:ascii="仿宋_GB2312" w:hAnsi="仿宋_GB2312" w:cs="仿宋_GB2312" w:eastAsia="仿宋_GB2312"/>
              </w:rPr>
              <w:t>（六）推动项目复制推广。</w:t>
            </w:r>
          </w:p>
          <w:p>
            <w:pPr>
              <w:pStyle w:val="null3"/>
            </w:pPr>
            <w:r>
              <w:rPr>
                <w:rFonts w:ascii="仿宋_GB2312" w:hAnsi="仿宋_GB2312" w:cs="仿宋_GB2312" w:eastAsia="仿宋_GB2312"/>
              </w:rPr>
              <w:t>在第二阶段5个试点社区初步取得试点阶段成果的前提下，规划和推动项目在全区乃至全市的复制推广。</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服务期限：自合同签订之日起一年。平台维护期限：自合同签订之日起三年。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由采购人及成交供应商双方共同确认试点社区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在完成本合同第五条合作进度及阶段目标中第二阶段-试点阶段相关要求后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报价是供应商应在磋商报价表中标明完成本项目所要求内容且验收合格的所有费用,总价包括但不限于人工费、平台维护费、培训费、推广宣传费、管理费、社保费、税金等其他一切相关费用。任何有选择的报价将不予接受，否则按无效磋商处理。 （2）项目属性：服务。 （3）本项目所属行业为：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4）按照西安市财政局关于促进政府采购公平竞争优化营商环境的通知&gt;(市财函(2021）431号）规定:供应商登记免费领取磋商文件的，如不参与项目投标，应在递交磋商响应文件截止时间前一日以书面形式告知采购代理机构。否则，采购代理机构可以向财政部门反映情况并提供相应的佐证。供应商一年内累计出现三次该情形，将被监管部门记录为失信行为。 （5）本项目是否属于信用担保试点范围：否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2、提供磋商截止时间前6个月内任意时段的依法缴纳税收的相关凭据（时间以税款所属日期为准），依法免税或无须缴纳税收的供应商应提供相关证明材料；3、提供磋商截止时间前6个月内任意时段的社会保障资金的相关材料，依法不需要缴纳社会保障金的供应商，需具有社保部门出具的证明文件；4、提供具有履行合同所必需的设备和专业技术能力的承诺；5、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财务状况报告：提供2024年度的财务审计报告或开标前3个月内供应商基本存款账户开户银行出具的资信证明及开户许可证（基本存款账户信息）；</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法定代表人授权书（附法定代表人、被授权代表身份证复印件）（法定代表人直接参加磋商，须提供法定代表人身份证明）；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分项报价表 中小企业声明函 业绩 商务条款偏离表 磋商方案说明书 响应文件封面 资格证明文件 残疾人福利性单位声明函 标的清单 陕西省政府采购供应商拒绝政府采购领域商业贿赂承诺书 其他说明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分项报价表 中小企业声明函 业绩 商务条款偏离表 磋商方案说明书 响应文件封面 资格证明文件 残疾人福利性单位声明函 标的清单 陕西省政府采购供应商拒绝政府采购领域商业贿赂承诺书 其他说明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只能有一个有效报价，不得提交选择性报价，且报价不超过采购预算金额或单价最高限价</w:t>
            </w:r>
          </w:p>
        </w:tc>
        <w:tc>
          <w:tcPr>
            <w:tcW w:type="dxa" w:w="1661"/>
          </w:tcPr>
          <w:p>
            <w:pPr>
              <w:pStyle w:val="null3"/>
            </w:pPr>
            <w:r>
              <w:rPr>
                <w:rFonts w:ascii="仿宋_GB2312" w:hAnsi="仿宋_GB2312" w:cs="仿宋_GB2312" w:eastAsia="仿宋_GB2312"/>
              </w:rPr>
              <w:t>响应文件封面 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标的清单 磋商方案说明书</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应满足竞争性磋商文件中要求的服务地点</w:t>
            </w:r>
          </w:p>
        </w:tc>
        <w:tc>
          <w:tcPr>
            <w:tcW w:type="dxa" w:w="1661"/>
          </w:tcPr>
          <w:p>
            <w:pPr>
              <w:pStyle w:val="null3"/>
            </w:pPr>
            <w:r>
              <w:rPr>
                <w:rFonts w:ascii="仿宋_GB2312" w:hAnsi="仿宋_GB2312" w:cs="仿宋_GB2312" w:eastAsia="仿宋_GB2312"/>
              </w:rPr>
              <w:t>响应文件封面 磋商方案说明书</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针对本项目提供的服务方案进行综合比较。方案内容全面、合理、可实施性强、框架清晰、与项目贴合性高得[10-15]分；方案内容较全面、合理、可实施性较强、框架较清晰得[5-10）分；服务方案内容不够全面、合理及可行、框架不够清晰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工作计划安排</w:t>
            </w:r>
          </w:p>
        </w:tc>
        <w:tc>
          <w:tcPr>
            <w:tcW w:type="dxa" w:w="2492"/>
          </w:tcPr>
          <w:p>
            <w:pPr>
              <w:pStyle w:val="null3"/>
            </w:pPr>
            <w:r>
              <w:rPr>
                <w:rFonts w:ascii="仿宋_GB2312" w:hAnsi="仿宋_GB2312" w:cs="仿宋_GB2312" w:eastAsia="仿宋_GB2312"/>
              </w:rPr>
              <w:t>根据供应商提供的工作计划安排进行综合比较。组织机构完整、工作计划安排及进度保障措施合理性、可行性强、与项目贴合性高得[10-15]分；组织机构较较完整、工作计划安排及进度保障措施合理性、可行性较强得[5-10）分；方案组织机构不够完整、工作计划安排及进度保障措施不合理可行，待完善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针对本项目具有严格的项目服务质量管理措施、完善的质量保证管理体系。根据供应商提供的服务质量保证措施的完整性、合理性、可行性进行综合比较。质量保证措施完整全面，合理性及可行性强得[10-15]分;质量保证措施较完整全面，合理性及可行性较强得[5-10）分；质量保证措施简单，不完整，合理性及可行性一般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为确保信息系统正常良好的运行，供应商对服务范围内的设备及系统制定应急处置方案，要评估运维中可能发生的突发状况，并制定行之有效、详细具体的故障处理方案及故障响应时间。应急方案较全面、合理，可行得[7-10]分;应急方案较全面、较合理，较可行得[4-7）分；应急方案不全面，不合理，不可行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提供针对本项目拟派的人员配备清单(清单内容应包含:具体成员姓名、年龄、学历、专业技能、工作经验、拟从事岗位），根据人员配置清单的合理性、专业性综合评审。 配备人员数量充足，满足采购需求，人员专业素质高，配置方案合理，职责划分明确的得[10-15]分；配备人员数量满足采购需求，有配备计划，方案较合理，职责分工较明确的得[5-10）分；配备人员数量基本满足采购需求，没有配备计划，方案合理性较差，职责分工不明确的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运维服务方案</w:t>
            </w:r>
          </w:p>
        </w:tc>
        <w:tc>
          <w:tcPr>
            <w:tcW w:type="dxa" w:w="2492"/>
          </w:tcPr>
          <w:p>
            <w:pPr>
              <w:pStyle w:val="null3"/>
            </w:pPr>
            <w:r>
              <w:rPr>
                <w:rFonts w:ascii="仿宋_GB2312" w:hAnsi="仿宋_GB2312" w:cs="仿宋_GB2312" w:eastAsia="仿宋_GB2312"/>
              </w:rPr>
              <w:t>响应文件中有明确的运维服务承诺，应向采购人提供全方位、有效而及时的技术支持和运维服务（包括但不限于常规的技术支持和版本升级、现场重大技术问题解决服务、安全服务、数据处理、每年驻会保障服务、二次定制开发等）。方案完善，响应高效，预案全面完善，解决问题全面，培训计划和内容到位，针对性强且可操作性强得[7-10]分；方案基本合理，服务响应尚可接受，预案尚待完善，解决问题相对片面，培训计划和内容基本可行，有一定针对性和可操作性得[4-7）分；方案无针对性、语焉不详，可操作性差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供应商提供近三年（2022年7月1日至今，以合同签订时间为准）的同类项目业绩，业绩以合同为依据，响应文件中附有其证明资料，每提供一个业绩证明计2.5分，满分10分。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1.经初审合格的磋商响应文件，其磋商报价为有效报价。对符合政策性扣减的有效磋商报价进行政策性扣减，并依据扣减后的价格（评审价格）进行价格评审。 2.满足磋商文件实质性要求且最终报价最低的供应商的价格为磋商基准价，其价格分为满分10分。 3.磋商报价得分=（磋商基准价/最终评审磋商报价）×10的公式计算得分。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详见附件：磋商方案说明书</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详见附件：其他说明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