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版本号：SXXYCZB-CS-2025060920250730001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长安区零工驿站购买第三方专业化运营服务项目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SXXYCZB-CS-20250609</w:t>
      </w:r>
      <w:r>
        <w:br/>
      </w:r>
      <w:r>
        <w:br/>
      </w:r>
      <w:r>
        <w:br/>
      </w:r>
    </w:p>
    <w:p>
      <w:pPr>
        <w:pStyle w:val="null3"/>
        <w:jc w:val="center"/>
        <w:outlineLvl w:val="2"/>
      </w:pPr>
      <w:r>
        <w:rPr>
          <w:rFonts w:ascii="仿宋_GB2312" w:hAnsi="仿宋_GB2312" w:cs="仿宋_GB2312" w:eastAsia="仿宋_GB2312"/>
          <w:sz w:val="28"/>
          <w:b/>
        </w:rPr>
        <w:t>西安市劳动力中心市场长安分市场</w:t>
      </w:r>
    </w:p>
    <w:p>
      <w:pPr>
        <w:pStyle w:val="null3"/>
        <w:jc w:val="center"/>
        <w:outlineLvl w:val="2"/>
      </w:pPr>
      <w:r>
        <w:rPr>
          <w:rFonts w:ascii="仿宋_GB2312" w:hAnsi="仿宋_GB2312" w:cs="仿宋_GB2312" w:eastAsia="仿宋_GB2312"/>
          <w:sz w:val="28"/>
          <w:b/>
        </w:rPr>
        <w:t>陕西信悦诚招标有限公司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陕西信悦诚招标有限公司</w:t>
      </w:r>
      <w:r>
        <w:rPr>
          <w:rFonts w:ascii="仿宋_GB2312" w:hAnsi="仿宋_GB2312" w:cs="仿宋_GB2312" w:eastAsia="仿宋_GB2312"/>
        </w:rPr>
        <w:t>（以下简称“代理机构”）受</w:t>
      </w:r>
      <w:r>
        <w:rPr>
          <w:rFonts w:ascii="仿宋_GB2312" w:hAnsi="仿宋_GB2312" w:cs="仿宋_GB2312" w:eastAsia="仿宋_GB2312"/>
        </w:rPr>
        <w:t>西安市劳动力中心市场长安分市场</w:t>
      </w:r>
      <w:r>
        <w:rPr>
          <w:rFonts w:ascii="仿宋_GB2312" w:hAnsi="仿宋_GB2312" w:cs="仿宋_GB2312" w:eastAsia="仿宋_GB2312"/>
        </w:rPr>
        <w:t>委托，拟对</w:t>
      </w:r>
      <w:r>
        <w:rPr>
          <w:rFonts w:ascii="仿宋_GB2312" w:hAnsi="仿宋_GB2312" w:cs="仿宋_GB2312" w:eastAsia="仿宋_GB2312"/>
        </w:rPr>
        <w:t>长安区零工驿站购买第三方专业化运营服务项目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SXXYCZB-CS-20250609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长安区零工驿站购买第三方专业化运营服务项目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中共中央、国务院《关于实施就业优先战略促进高质量充分就业的意见》，支持灵活就业健康发展，建设功能化便捷化零工驿站，进一步健全精准高效的就业公共服务体系。根据西安市财政局、西安市人社局《关于印发西安市就业资金管理办法的通知》有关规定，通过购买第三方专业化运营服务方式，为辖区灵活就业群体，提供求职信息登记、岗位信息征集发布、就业指导、职业技能培训、就创政策宣传、权益维护指引等多项专业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采购包1（长安区零工驿站购买第三方专业化运营服务项目）：属于专门面向中小企业采购。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3、税收缴纳证明：提供已缴纳的2024年7月起任意一个月的纳税证明或完税证明，纳税证明或完税证明上应有代收机构或税务机关的公章或业务专用章。依法免税的供应商应提供相关文件证明；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纳的2024年7月起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西安市劳动力中心市场长安分市场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西安市长安区韦曲南街250号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029-85291606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陕西信悦诚招标有限公司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陕西省西安市未央区笃信路与昭远门路交叉口东北260米碧桂园云府52幢2单元701室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徐新颖、郭敏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17765052185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 公司名称：陕西信悦诚招标有限公司 账号：72050078801800001493 开户行：上海浦东发展银行股份有限公司西安未央路支行。 公司邮箱：shanxixinyuecheng@163.com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西安市劳动力中心市场长安分市场</w:t>
      </w:r>
      <w:r>
        <w:rPr>
          <w:rFonts w:ascii="仿宋_GB2312" w:hAnsi="仿宋_GB2312" w:cs="仿宋_GB2312" w:eastAsia="仿宋_GB2312"/>
        </w:rPr>
        <w:t>和</w:t>
      </w:r>
      <w:r>
        <w:rPr>
          <w:rFonts w:ascii="仿宋_GB2312" w:hAnsi="仿宋_GB2312" w:cs="仿宋_GB2312" w:eastAsia="仿宋_GB2312"/>
        </w:rPr>
        <w:t>陕西信悦诚招标有限公司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西安市劳动力中心市场长安分市场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陕西信悦诚招标有限公司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西安市劳动力中心市场长安分市场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陕西信悦诚招标有限公司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联系人：徐新颖、郭敏</w:t>
      </w:r>
    </w:p>
    <w:p>
      <w:pPr>
        <w:pStyle w:val="null3"/>
      </w:pPr>
      <w:r>
        <w:rPr>
          <w:rFonts w:ascii="仿宋_GB2312" w:hAnsi="仿宋_GB2312" w:cs="仿宋_GB2312" w:eastAsia="仿宋_GB2312"/>
        </w:rPr>
        <w:t>联系电话：17765052185</w:t>
      </w:r>
    </w:p>
    <w:p>
      <w:pPr>
        <w:pStyle w:val="null3"/>
      </w:pPr>
      <w:r>
        <w:rPr>
          <w:rFonts w:ascii="仿宋_GB2312" w:hAnsi="仿宋_GB2312" w:cs="仿宋_GB2312" w:eastAsia="仿宋_GB2312"/>
        </w:rPr>
        <w:t>地址：陕西省西安市未央区笃信路与昭远门路交叉口东北260米碧桂园云府52幢2单元701室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中共中央、国务院《关于实施就业优先战略促进高质量充分就业的意见》，支持灵活就业健康发展，建设功能化便捷化零工驿站，进一步健全精准高效的就业公共服务体系。根据西安市财政局、西安市人社局《关于印发西安市就业资金管理办法的通知》有关规定，通过购买第三方专业化运营服务方式，为辖区灵活就业群体，提供求职信息登记、岗位信息征集发布、就业指导、职业技能培训、就创政策宣传、权益维护指引等多项专业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长安区零工驿站购买第三方专业化运营服务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标的名称：长安区零工驿站购买第三方专业化运营服务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深入贯彻落实中共中央、国务院《关于实施就业优先战略促进高质量充分就业的意见》，支持灵活就业健康发展，建设功能化便捷化零工驿站，进一步健全精准高效的就业公共服务体系。根据西安市财政局、西安市人社局《关于印发西安市就业资金管理办法的通知》有关规定，通过购买第三方专业化运营服务方式，为辖区灵活就业群体，提供求职信息登记、岗位信息征集发布、就业指导、职业技能培训、就创政策宣传、权益维护指引等多项专业化服务。</w:t>
            </w:r>
          </w:p>
          <w:p>
            <w:pPr>
              <w:pStyle w:val="null3"/>
              <w:jc w:val="both"/>
            </w:pPr>
            <w:r>
              <w:rPr>
                <w:rFonts w:ascii="仿宋_GB2312" w:hAnsi="仿宋_GB2312" w:cs="仿宋_GB2312" w:eastAsia="仿宋_GB2312"/>
                <w:b/>
              </w:rPr>
              <w:t>二、</w:t>
            </w:r>
            <w:r>
              <w:rPr>
                <w:rFonts w:ascii="仿宋_GB2312" w:hAnsi="仿宋_GB2312" w:cs="仿宋_GB2312" w:eastAsia="仿宋_GB2312"/>
                <w:b/>
              </w:rPr>
              <w:t>服务内容</w:t>
            </w:r>
          </w:p>
          <w:p>
            <w:pPr>
              <w:pStyle w:val="null3"/>
              <w:jc w:val="both"/>
            </w:pPr>
            <w:r>
              <w:rPr>
                <w:rFonts w:ascii="仿宋_GB2312" w:hAnsi="仿宋_GB2312" w:cs="仿宋_GB2312" w:eastAsia="仿宋_GB2312"/>
              </w:rPr>
              <w:t>围绕韦曲、郭杜两个零工驿站日常运营服务做好以下工作：</w:t>
            </w:r>
          </w:p>
          <w:p>
            <w:pPr>
              <w:pStyle w:val="null3"/>
              <w:jc w:val="both"/>
            </w:pPr>
            <w:r>
              <w:rPr>
                <w:rFonts w:ascii="仿宋_GB2312" w:hAnsi="仿宋_GB2312" w:cs="仿宋_GB2312" w:eastAsia="仿宋_GB2312"/>
              </w:rPr>
              <w:t>（一）基础服务</w:t>
            </w:r>
          </w:p>
          <w:p>
            <w:pPr>
              <w:pStyle w:val="null3"/>
              <w:jc w:val="both"/>
            </w:pPr>
            <w:r>
              <w:rPr>
                <w:rFonts w:ascii="仿宋_GB2312" w:hAnsi="仿宋_GB2312" w:cs="仿宋_GB2312" w:eastAsia="仿宋_GB2312"/>
              </w:rPr>
              <w:t>1.求职需求摸排登记：定期深入社区（村）开展就业需求摸排和求职意向登记，建立求职需求台账。</w:t>
            </w:r>
          </w:p>
          <w:p>
            <w:pPr>
              <w:pStyle w:val="null3"/>
              <w:jc w:val="both"/>
            </w:pPr>
            <w:r>
              <w:rPr>
                <w:rFonts w:ascii="仿宋_GB2312" w:hAnsi="仿宋_GB2312" w:cs="仿宋_GB2312" w:eastAsia="仿宋_GB2312"/>
              </w:rPr>
              <w:t>2.就业创业政策宣传：做好西安市就业创业政策宣传与解读（就业见习、职业技能培训、社保补贴、一次性创业补贴、创业担保贷款等政策）。</w:t>
            </w:r>
          </w:p>
          <w:p>
            <w:pPr>
              <w:pStyle w:val="null3"/>
              <w:jc w:val="both"/>
            </w:pPr>
            <w:r>
              <w:rPr>
                <w:rFonts w:ascii="仿宋_GB2312" w:hAnsi="仿宋_GB2312" w:cs="仿宋_GB2312" w:eastAsia="仿宋_GB2312"/>
              </w:rPr>
              <w:t>3.招聘岗位归集发布：定期深入长安区有招聘需求的商户及企业进行走访摸排，征集就业岗位，建立岗位信息库，并动态更新维护岗位信息、对已招满或存在疑义的岗位及时下线。同时，通过岗位信息发布栏、求职者微信社群等方式及时推送岗位</w:t>
            </w:r>
            <w:r>
              <w:rPr>
                <w:rFonts w:ascii="仿宋_GB2312" w:hAnsi="仿宋_GB2312" w:cs="仿宋_GB2312" w:eastAsia="仿宋_GB2312"/>
              </w:rPr>
              <w:t>信息。</w:t>
            </w:r>
            <w:r>
              <w:rPr>
                <w:rFonts w:ascii="仿宋_GB2312" w:hAnsi="仿宋_GB2312" w:cs="仿宋_GB2312" w:eastAsia="仿宋_GB2312"/>
              </w:rPr>
              <w:t>每周征集发布有效岗位信息不少于</w:t>
            </w:r>
            <w:r>
              <w:rPr>
                <w:rFonts w:ascii="仿宋_GB2312" w:hAnsi="仿宋_GB2312" w:cs="仿宋_GB2312" w:eastAsia="仿宋_GB2312"/>
              </w:rPr>
              <w:t>25个，合同期内征集发布有效岗位信息不少于500个</w:t>
            </w:r>
            <w:r>
              <w:rPr>
                <w:rFonts w:ascii="仿宋_GB2312" w:hAnsi="仿宋_GB2312" w:cs="仿宋_GB2312" w:eastAsia="仿宋_GB2312"/>
              </w:rPr>
              <w:t>。</w:t>
            </w:r>
          </w:p>
          <w:p>
            <w:pPr>
              <w:pStyle w:val="null3"/>
              <w:jc w:val="both"/>
            </w:pPr>
            <w:r>
              <w:rPr>
                <w:rFonts w:ascii="仿宋_GB2312" w:hAnsi="仿宋_GB2312" w:cs="仿宋_GB2312" w:eastAsia="仿宋_GB2312"/>
              </w:rPr>
              <w:t>4.职业技能培训服务：链接区域技能培训资源，促进灵活就业人员职业技能提升，积极拓宽零工群体就业渠道。</w:t>
            </w:r>
          </w:p>
          <w:p>
            <w:pPr>
              <w:pStyle w:val="null3"/>
              <w:jc w:val="both"/>
            </w:pPr>
            <w:r>
              <w:rPr>
                <w:rFonts w:ascii="仿宋_GB2312" w:hAnsi="仿宋_GB2312" w:cs="仿宋_GB2312" w:eastAsia="仿宋_GB2312"/>
              </w:rPr>
              <w:t>（二）延伸服务</w:t>
            </w:r>
          </w:p>
          <w:p>
            <w:pPr>
              <w:pStyle w:val="null3"/>
              <w:jc w:val="both"/>
            </w:pPr>
            <w:r>
              <w:rPr>
                <w:rFonts w:ascii="仿宋_GB2312" w:hAnsi="仿宋_GB2312" w:cs="仿宋_GB2312" w:eastAsia="仿宋_GB2312"/>
              </w:rPr>
              <w:t>结合长安区零工驿站实际，采取线上线下相结合的方式，丰富就业服务活动类型，举办各类活动不少于</w:t>
            </w:r>
            <w:r>
              <w:rPr>
                <w:rFonts w:ascii="仿宋_GB2312" w:hAnsi="仿宋_GB2312" w:cs="仿宋_GB2312" w:eastAsia="仿宋_GB2312"/>
              </w:rPr>
              <w:t>50场次，服务求职群众不少于1000人。</w:t>
            </w:r>
          </w:p>
          <w:p>
            <w:pPr>
              <w:pStyle w:val="null3"/>
              <w:jc w:val="both"/>
            </w:pPr>
            <w:r>
              <w:rPr>
                <w:rFonts w:ascii="仿宋_GB2312" w:hAnsi="仿宋_GB2312" w:cs="仿宋_GB2312" w:eastAsia="仿宋_GB2312"/>
              </w:rPr>
              <w:t>1.人岗匹配与精准推荐活动：面向有就业需求群众，认真分析就业需求和现状，进行人岗匹配，精准推荐就业岗位信息，开展招聘活动不少于10场次。</w:t>
            </w:r>
          </w:p>
          <w:p>
            <w:pPr>
              <w:pStyle w:val="null3"/>
              <w:jc w:val="both"/>
            </w:pPr>
            <w:r>
              <w:rPr>
                <w:rFonts w:ascii="仿宋_GB2312" w:hAnsi="仿宋_GB2312" w:cs="仿宋_GB2312" w:eastAsia="仿宋_GB2312"/>
              </w:rPr>
              <w:t>2.开展就业问诊：面向求职群众开展职业指导服务，提升群众就业竞争力，集中性指导活动不少于8次。</w:t>
            </w:r>
          </w:p>
          <w:p>
            <w:pPr>
              <w:pStyle w:val="null3"/>
              <w:jc w:val="both"/>
            </w:pPr>
            <w:r>
              <w:rPr>
                <w:rFonts w:ascii="仿宋_GB2312" w:hAnsi="仿宋_GB2312" w:cs="仿宋_GB2312" w:eastAsia="仿宋_GB2312"/>
              </w:rPr>
              <w:t>3.就业服务进社区：深入街道或社区举办送岗位、送技能、送政策等促就业活动不少于12场。</w:t>
            </w:r>
          </w:p>
          <w:p>
            <w:pPr>
              <w:pStyle w:val="null3"/>
              <w:jc w:val="both"/>
            </w:pPr>
            <w:r>
              <w:rPr>
                <w:rFonts w:ascii="仿宋_GB2312" w:hAnsi="仿宋_GB2312" w:cs="仿宋_GB2312" w:eastAsia="仿宋_GB2312"/>
              </w:rPr>
              <w:t>4.线上招聘活动：依托秦云就业小程序举办线上招聘会不少于10场，保证岗位信息准确性和时效性。</w:t>
            </w:r>
          </w:p>
          <w:p>
            <w:pPr>
              <w:pStyle w:val="null3"/>
              <w:jc w:val="both"/>
            </w:pPr>
            <w:r>
              <w:rPr>
                <w:rFonts w:ascii="仿宋_GB2312" w:hAnsi="仿宋_GB2312" w:cs="仿宋_GB2312" w:eastAsia="仿宋_GB2312"/>
              </w:rPr>
              <w:t>5.直播带岗活动：通过秦云就业、西安市公共招聘网及自有平台等媒介，开展直播带岗活动不少于10场。</w:t>
            </w:r>
          </w:p>
          <w:p>
            <w:pPr>
              <w:pStyle w:val="null3"/>
              <w:jc w:val="both"/>
            </w:pPr>
            <w:r>
              <w:rPr>
                <w:rFonts w:ascii="仿宋_GB2312" w:hAnsi="仿宋_GB2312" w:cs="仿宋_GB2312" w:eastAsia="仿宋_GB2312"/>
              </w:rPr>
              <w:t>（三）宣传报道</w:t>
            </w:r>
          </w:p>
          <w:p>
            <w:pPr>
              <w:pStyle w:val="null3"/>
              <w:jc w:val="both"/>
            </w:pPr>
            <w:r>
              <w:rPr>
                <w:rFonts w:ascii="仿宋_GB2312" w:hAnsi="仿宋_GB2312" w:cs="仿宋_GB2312" w:eastAsia="仿宋_GB2312"/>
              </w:rPr>
              <w:t>长安区零工驿站宣传报道工作可从多维度、多渠道展开，全面提升驿站影响力。在宣传渠道拓展方面，充分利用线上线下资源。加强与陕西广播电视台、西安电视台等新闻媒体合作，争取每年获得不少于</w:t>
            </w:r>
            <w:r>
              <w:rPr>
                <w:rFonts w:ascii="仿宋_GB2312" w:hAnsi="仿宋_GB2312" w:cs="仿宋_GB2312" w:eastAsia="仿宋_GB2312"/>
              </w:rPr>
              <w:t>5次的省市主流媒体宣传报道。在宣传内容挖掘上，展现驿站在促进零工就业及解决企业用工需求方面的积极作用。对于就业服务亮点工作，进行动态跟踪宣传，及时向社会展示驿站的创新举措和服务成果，从而不断提升长安区零工驿站的知晓度、认可度和社会影响力，吸引更多零工人员和用工方参与，推动零工就业市场的良性发展。</w:t>
            </w:r>
          </w:p>
          <w:p>
            <w:pPr>
              <w:pStyle w:val="null3"/>
              <w:jc w:val="both"/>
            </w:pPr>
            <w:r>
              <w:rPr>
                <w:rFonts w:ascii="仿宋_GB2312" w:hAnsi="仿宋_GB2312" w:cs="仿宋_GB2312" w:eastAsia="仿宋_GB2312"/>
                <w:b/>
              </w:rPr>
              <w:t>三、</w:t>
            </w:r>
            <w:r>
              <w:rPr>
                <w:rFonts w:ascii="仿宋_GB2312" w:hAnsi="仿宋_GB2312" w:cs="仿宋_GB2312" w:eastAsia="仿宋_GB2312"/>
                <w:b/>
              </w:rPr>
              <w:t>服务要求</w:t>
            </w:r>
          </w:p>
          <w:p>
            <w:pPr>
              <w:pStyle w:val="null3"/>
              <w:jc w:val="both"/>
            </w:pPr>
            <w:r>
              <w:rPr>
                <w:rFonts w:ascii="仿宋_GB2312" w:hAnsi="仿宋_GB2312" w:cs="仿宋_GB2312" w:eastAsia="仿宋_GB2312"/>
              </w:rPr>
              <w:t>1.信息采集与回流：协助驿站进行入户走访、摸排工作，将收集到的人员信息和就业援助结果及时回流至就业信息化系统，保证数据的完整性和及时性，为精准就业服务提供数据支撑。</w:t>
            </w:r>
          </w:p>
          <w:p>
            <w:pPr>
              <w:pStyle w:val="null3"/>
              <w:jc w:val="both"/>
            </w:pPr>
            <w:r>
              <w:rPr>
                <w:rFonts w:ascii="仿宋_GB2312" w:hAnsi="仿宋_GB2312" w:cs="仿宋_GB2312" w:eastAsia="仿宋_GB2312"/>
              </w:rPr>
              <w:t>2.线上线下协同服务：依据驿站数字化平台和专属二维码，开展线上线下融合服务。线上通过 “秦云就业” 等平台拓展掌上功能，线下配合驿站组织小规模招聘洽谈会、企业座谈会及培训活动，提升服务便捷性与针对性。</w:t>
            </w:r>
          </w:p>
          <w:p>
            <w:pPr>
              <w:pStyle w:val="null3"/>
              <w:jc w:val="both"/>
            </w:pPr>
            <w:r>
              <w:rPr>
                <w:rFonts w:ascii="仿宋_GB2312" w:hAnsi="仿宋_GB2312" w:cs="仿宋_GB2312" w:eastAsia="仿宋_GB2312"/>
              </w:rPr>
              <w:t>3.执行规范服务流程：遵循驿站制定的业务服务流程，规范开展各项服务。建立服务台账，详细记录服务内容、对象反馈等信息，确保服务过程可追溯，提升服务质量。</w:t>
            </w:r>
          </w:p>
          <w:p>
            <w:pPr>
              <w:pStyle w:val="null3"/>
              <w:jc w:val="both"/>
            </w:pPr>
            <w:r>
              <w:rPr>
                <w:rFonts w:ascii="仿宋_GB2312" w:hAnsi="仿宋_GB2312" w:cs="仿宋_GB2312" w:eastAsia="仿宋_GB2312"/>
              </w:rPr>
              <w:t>4.强化政策宣传推广：积极参与驿站就业创业政策宣传工作，运用多种渠道和方式，如社区宣传、线上推送等，向零工人员和相关企业宣传政策，助力政策落实，提高政策知晓率。</w:t>
            </w:r>
          </w:p>
          <w:p>
            <w:pPr>
              <w:pStyle w:val="null3"/>
              <w:jc w:val="both"/>
            </w:pPr>
            <w:r>
              <w:rPr>
                <w:rFonts w:ascii="仿宋_GB2312" w:hAnsi="仿宋_GB2312" w:cs="仿宋_GB2312" w:eastAsia="仿宋_GB2312"/>
              </w:rPr>
              <w:t>5.助力精准就业匹配：利用自身资源和专业能力，帮助驿站挖掘更多零工岗位信息，结合零工人员技能和就业需求，实现用工方与求职者精准匹配，提高就业成功率。</w:t>
            </w:r>
          </w:p>
          <w:p>
            <w:pPr>
              <w:pStyle w:val="null3"/>
              <w:jc w:val="both"/>
            </w:pPr>
            <w:r>
              <w:rPr>
                <w:rFonts w:ascii="仿宋_GB2312" w:hAnsi="仿宋_GB2312" w:cs="仿宋_GB2312" w:eastAsia="仿宋_GB2312"/>
              </w:rPr>
              <w:t>6.接受严格监督管理：主动接受驿站日常监管，配合驿站进行服务质量评估。依据反馈及时调整服务策略和方式，持续优化服务水平，确保服务符合驿站标准和要求。</w:t>
            </w:r>
          </w:p>
          <w:p>
            <w:pPr>
              <w:pStyle w:val="null3"/>
              <w:jc w:val="both"/>
            </w:pPr>
            <w:r>
              <w:rPr>
                <w:rFonts w:ascii="仿宋_GB2312" w:hAnsi="仿宋_GB2312" w:cs="仿宋_GB2312" w:eastAsia="仿宋_GB2312"/>
              </w:rPr>
              <w:t>7.保密工作：要严格落实个人信息保护法要求，服务过程中涉及的所有数据仅用于就业帮扶工作，未经授权不能用于第三方和其他商业用途。</w:t>
            </w:r>
          </w:p>
          <w:p>
            <w:pPr>
              <w:pStyle w:val="null3"/>
              <w:jc w:val="both"/>
            </w:pPr>
            <w:r>
              <w:rPr>
                <w:rFonts w:ascii="仿宋_GB2312" w:hAnsi="仿宋_GB2312" w:cs="仿宋_GB2312" w:eastAsia="仿宋_GB2312"/>
              </w:rPr>
              <w:t>8.禁止收费：本项目为公益性就业服务，严禁向用工单位和个人收取任何服务费用。</w:t>
            </w:r>
          </w:p>
          <w:p>
            <w:pPr>
              <w:pStyle w:val="null3"/>
              <w:jc w:val="both"/>
            </w:pPr>
            <w:r>
              <w:rPr>
                <w:rFonts w:ascii="仿宋_GB2312" w:hAnsi="仿宋_GB2312" w:cs="仿宋_GB2312" w:eastAsia="仿宋_GB2312"/>
                <w:b/>
              </w:rPr>
              <w:t>四、商务要求</w:t>
            </w:r>
          </w:p>
          <w:p>
            <w:pPr>
              <w:pStyle w:val="null3"/>
              <w:jc w:val="both"/>
            </w:pPr>
            <w:r>
              <w:rPr>
                <w:rFonts w:ascii="仿宋_GB2312" w:hAnsi="仿宋_GB2312" w:cs="仿宋_GB2312" w:eastAsia="仿宋_GB2312"/>
              </w:rPr>
              <w:t>（一）服务期限</w:t>
            </w:r>
          </w:p>
          <w:p>
            <w:pPr>
              <w:pStyle w:val="null3"/>
              <w:jc w:val="both"/>
            </w:pPr>
            <w:r>
              <w:rPr>
                <w:rFonts w:ascii="仿宋_GB2312" w:hAnsi="仿宋_GB2312" w:cs="仿宋_GB2312" w:eastAsia="仿宋_GB2312"/>
              </w:rPr>
              <w:t>自合同签订之日起一年</w:t>
            </w:r>
          </w:p>
          <w:p>
            <w:pPr>
              <w:pStyle w:val="null3"/>
              <w:jc w:val="both"/>
            </w:pPr>
            <w:r>
              <w:rPr>
                <w:rFonts w:ascii="仿宋_GB2312" w:hAnsi="仿宋_GB2312" w:cs="仿宋_GB2312" w:eastAsia="仿宋_GB2312"/>
              </w:rPr>
              <w:t>（二）款项结算</w:t>
            </w:r>
          </w:p>
          <w:p>
            <w:pPr>
              <w:pStyle w:val="null3"/>
              <w:jc w:val="both"/>
            </w:pPr>
            <w:r>
              <w:rPr>
                <w:rFonts w:ascii="仿宋_GB2312" w:hAnsi="仿宋_GB2312" w:cs="仿宋_GB2312" w:eastAsia="仿宋_GB2312"/>
              </w:rPr>
              <w:t>合同签订后，达到付款条件起</w:t>
            </w:r>
            <w:r>
              <w:rPr>
                <w:rFonts w:ascii="仿宋_GB2312" w:hAnsi="仿宋_GB2312" w:cs="仿宋_GB2312" w:eastAsia="仿宋_GB2312"/>
              </w:rPr>
              <w:t>60日内，支付合同总金额的50.00%； 合同内容完成50%经甲方验收后，达到付款条件起60日内，支付合同总金额的40.00%。 合同期结束验收完成后，达到付款条件起60日内，支付合同总金额的10.00%。采购人付款前，成交供应商须向采购人提供符合采购人要求的增值税普通发票，若成交供应商提供的发票不符合采购人要求，采购人有权拒绝付款且不承担逾期付款责任。</w:t>
            </w:r>
          </w:p>
          <w:p>
            <w:pPr>
              <w:pStyle w:val="null3"/>
              <w:jc w:val="both"/>
            </w:pPr>
            <w:r>
              <w:rPr>
                <w:rFonts w:ascii="仿宋_GB2312" w:hAnsi="仿宋_GB2312" w:cs="仿宋_GB2312" w:eastAsia="仿宋_GB2312"/>
                <w:sz w:val="21"/>
              </w:rPr>
              <w:t>成交供应商应保证其提供的银行账户准确有效，如发生变更，应提前十个工作日书面通知采购人。否则因成交供应商银行账户的不准确性而给双方造成任何损失和责任，均由成交供应商承担赔偿责任。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合同内容完成50%经甲方验收后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合同期结束验收完成后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提供已缴纳的2024年7月起任意一个月的纳税证明或完税证明，纳税证明或完税证明上应有代收机构或税务机关的公章或业务专用章。依法免税的供应商应提供相关文件证明；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7月起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法定代表人身份证明与法定代表人授权委托书.docx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法定代表人身份证明与法定代表人授权委托书.docx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法定代表人身份证明与法定代表人授权委托书.docx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针对本项目的工作目标；②针对本项目的工作方法③针对本项目的工作内容④针对本项目的技术要求等。评审依据：每一项内容描述详细、内容全面，得4分，①～④项合计得16分。内容①～④项任意一项缺项扣4分，扣完为止；内容①～④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评审内容：①针对本项目提供组织框架；②人员保障措施； ③岗位职责。 评审依据：每一项内容描述详细、内容全面，得4分，①～③项合计得12分。 内容①～③项任意一项缺项扣4分，扣完为止；内容①～③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评审内容：①提供针对本项目各环节进度保证措施。②人员安排措施 评审依据：每一项内容描述详细，内容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供应商须提供本项目工作中的重点和难点分析</w:t>
            </w:r>
          </w:p>
        </w:tc>
        <w:tc>
          <w:tcPr>
            <w:tcW w:type="dxa" w:w="2492"/>
          </w:tcPr>
          <w:p>
            <w:pPr>
              <w:pStyle w:val="null3"/>
            </w:pPr>
            <w:r>
              <w:rPr>
                <w:rFonts w:ascii="仿宋_GB2312" w:hAnsi="仿宋_GB2312" w:cs="仿宋_GB2312" w:eastAsia="仿宋_GB2312"/>
              </w:rPr>
              <w:t>评审内容：①重点和难点分析。②解决措施或办法。 评审依据：每一项内容描述详细，内容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评审内容：①本项目服务的管理承诺②提供确保服务期限及进度的承诺③针对服务工作中的常见问题进行梳理，向采购人提供良好的解决方案及优化方案。 评审依据：每一项内容描述详细，内容切实可行符合项目实际内容得4分，①～③项合计得12分。内容①～③项任意一项缺项扣4分，扣完为止；内容①～③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评审内容：①服务质量控制方案②服务工作质量保障具体措施。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评审内容：①根据拟投入的其他服务人员数量②根据拟投入的其他人员年龄、专业经验、资格/职称等情况。 评审标准：每一项内容描述详细内容全面，得3分，①～②项合计得6分。 内容①～②项任意一项缺项扣3分，扣完为止；内容①～②项里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评审内容：①因特殊紧急情况评价工作时限响应方案②有特殊的应急服务方案及补救措施。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保密措施、廉洁从业措施</w:t>
            </w:r>
          </w:p>
        </w:tc>
        <w:tc>
          <w:tcPr>
            <w:tcW w:type="dxa" w:w="2492"/>
          </w:tcPr>
          <w:p>
            <w:pPr>
              <w:pStyle w:val="null3"/>
            </w:pPr>
            <w:r>
              <w:rPr>
                <w:rFonts w:ascii="仿宋_GB2312" w:hAnsi="仿宋_GB2312" w:cs="仿宋_GB2312" w:eastAsia="仿宋_GB2312"/>
              </w:rPr>
              <w:t>评审内容：①保密管理制度②具体保密措施③廉洁从业措施评审依据：每一项内容描述详细，内容切实可行符合项目实际内容得4分，①～③项合计得12分。内容①～③项任意一项缺项扣4分，扣完为止；内容①～③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2022年6月1日起至今，供应商承 接类似服务项目的业绩，每提供一份有效业绩得3分 ，最多得6分。（ 合同扫描件或中标通知书）。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