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版本号：JXZB2025-N101020250708002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兴教寺-大雄宝殿、藏经楼保护修缮工程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JXZB2025-N1010</w:t>
      </w:r>
      <w:r>
        <w:br/>
      </w:r>
      <w:r>
        <w:br/>
      </w:r>
      <w:r>
        <w:br/>
      </w:r>
    </w:p>
    <w:p>
      <w:pPr>
        <w:pStyle w:val="null3"/>
        <w:jc w:val="center"/>
        <w:outlineLvl w:val="2"/>
      </w:pPr>
      <w:r>
        <w:rPr>
          <w:rFonts w:ascii="仿宋_GB2312" w:hAnsi="仿宋_GB2312" w:cs="仿宋_GB2312" w:eastAsia="仿宋_GB2312"/>
          <w:sz w:val="28"/>
          <w:b/>
        </w:rPr>
        <w:t>西安市长安区文化和旅游体育局</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西安市长安区文化和旅游体育局</w:t>
      </w:r>
      <w:r>
        <w:rPr>
          <w:rFonts w:ascii="仿宋_GB2312" w:hAnsi="仿宋_GB2312" w:cs="仿宋_GB2312" w:eastAsia="仿宋_GB2312"/>
        </w:rPr>
        <w:t>委托，拟对</w:t>
      </w:r>
      <w:r>
        <w:rPr>
          <w:rFonts w:ascii="仿宋_GB2312" w:hAnsi="仿宋_GB2312" w:cs="仿宋_GB2312" w:eastAsia="仿宋_GB2312"/>
        </w:rPr>
        <w:t>兴教寺-大雄宝殿、藏经楼保护修缮工程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兴教寺-大雄宝殿、藏经楼保护修缮工程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兴教寺-大雄宝殿、藏经楼保护修缮工程。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采购包1（兴教寺-大雄宝殿、藏经楼保护修缮）：属于专门面向中小企业采购。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3、资质要求：供应商须具备主管部门颁发的文物保护工程施工（业务范围含“古建筑”）一级资质，在有效期内，且具有合格有效的安全生产许可证；</w:t>
      </w:r>
    </w:p>
    <w:p>
      <w:pPr>
        <w:pStyle w:val="null3"/>
      </w:pPr>
      <w:r>
        <w:rPr>
          <w:rFonts w:ascii="仿宋_GB2312" w:hAnsi="仿宋_GB2312" w:cs="仿宋_GB2312" w:eastAsia="仿宋_GB2312"/>
        </w:rPr>
        <w:t>4、项目负责人：拟派项目经理须具备文物保护工程责任工程师证书（业务范围含“古建筑”），在本单位注册且无在建项目；</w:t>
      </w:r>
    </w:p>
    <w:p>
      <w:pPr>
        <w:pStyle w:val="null3"/>
      </w:pPr>
      <w:r>
        <w:rPr>
          <w:rFonts w:ascii="仿宋_GB2312" w:hAnsi="仿宋_GB2312" w:cs="仿宋_GB2312" w:eastAsia="仿宋_GB2312"/>
        </w:rPr>
        <w:t>5、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6、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7、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8、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 注：以代理机构开标现场查询为准。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陕西省西安市雁塔区西安市高新区丈八街办唐延路11号禾盛京广中心1幢5单元52304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屈琳妮、贾晓燕、庞冰倩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029-89525802转8001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采购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按标准收取。（不足5000元的以5000元计取，在成交通知书发出前由成交供应商支付）。 代理费缴存账户： 开户银行：建行西安丰禾路支行 账号：61001744100052500118 收款人名称：中天久信管理咨询集团有限公司 （备注：项目名称+包代理服务费）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西安市长安区文化和旅游体育局</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采购文件、响应文件、合同约定及相关标准执行。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w:t>
      </w:r>
    </w:p>
    <w:p>
      <w:pPr>
        <w:pStyle w:val="null3"/>
      </w:pPr>
      <w:r>
        <w:rPr>
          <w:rFonts w:ascii="仿宋_GB2312" w:hAnsi="仿宋_GB2312" w:cs="仿宋_GB2312" w:eastAsia="仿宋_GB2312"/>
        </w:rPr>
        <w:t>联系电话：029-89525802（转8001）</w:t>
      </w:r>
    </w:p>
    <w:p>
      <w:pPr>
        <w:pStyle w:val="null3"/>
      </w:pPr>
      <w:r>
        <w:rPr>
          <w:rFonts w:ascii="仿宋_GB2312" w:hAnsi="仿宋_GB2312" w:cs="仿宋_GB2312" w:eastAsia="仿宋_GB2312"/>
        </w:rPr>
        <w:t>地址：陕西省西安市高新区唐延路11号禾盛京广中心E座23层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2,799,098.11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兴教寺大雄宝殿藏经阁保护修缮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标的名称：兴教寺大雄宝殿藏经阁保护修缮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详见附件</w:t>
            </w:r>
            <w:r>
              <w:rPr>
                <w:rFonts w:ascii="仿宋_GB2312" w:hAnsi="仿宋_GB2312" w:cs="仿宋_GB2312" w:eastAsia="仿宋_GB2312"/>
                <w:sz w:val="20"/>
              </w:rPr>
              <w:t>“工程量清单”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之日起180日历天。2、质量标准：达到国家现行施工验收规范“合格”标准。3、缺陷责任期（工程质量保修期）：工程竣工验收合格后1年，成交人承诺的质保时间超过国家标准要求的，按其承诺时间质保。成交人承诺的质保期起始时间为终验合格之日。4、付款方式：（1）合同签订后，达到付款条件起15日内，支付合同总金额的 30%作为预付款；施工完成后，达到付款条件起15日内，支付合同总金额的 50% ，竣工验收合格审计结束后，达到付款条件起15日内，支付合同总金额的17%，剩余3%作为质量保修金，竣工验收合格缺陷责任期满后免息支付（扣除相关应扣费用）。（2）每期付款时供应商提供等额发票申请款项。5、运输、进度：成交单位负责施工过程中材料的运输、施工及其他伴随服务。6、技术规范及要求：执行国家、省、市现行的相关规定及标准文件。7、竣工验收：（1）竣工须达到的标准和具备工程验收的条件；（2）工程验收规范、标准，验收的组织实施；（3）工程验收合格须移交的工程资料和竣工图纸等。8、验收依据：（1）合同文本及合同补充文件（条款）；（2）磋商文件及成交单位的磋商响应文件；（3）国家、省、市现行的施工验收标准及相关规定文件。（4）国家相关法律法规。 备注：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供应商须具备主管部门颁发的文物保护工程施工（业务范围含“古建筑”）一级资质，在有效期内，且具有合格有效的安全生产许可证；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拟派项目经理须具备文物保护工程责任工程师证书（业务范围含“古建筑”），在本单位注册且无在建项目；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 注：以代理机构开标现场查询为准。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供应商承诺书.docx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文物保护施工方案</w:t>
            </w:r>
          </w:p>
        </w:tc>
        <w:tc>
          <w:tcPr>
            <w:tcW w:type="dxa" w:w="2492"/>
          </w:tcPr>
          <w:p>
            <w:pPr>
              <w:pStyle w:val="null3"/>
            </w:pPr>
            <w:r>
              <w:rPr>
                <w:rFonts w:ascii="仿宋_GB2312" w:hAnsi="仿宋_GB2312" w:cs="仿宋_GB2312" w:eastAsia="仿宋_GB2312"/>
              </w:rPr>
              <w:t>方案内容全面，合规性、可行性强，得9分； 方案满足要求，可行性和针对性较强，得7分； 方案基本满足要求，有一定的可行性和针对性，得5分； 方案内容简单笼统，具有较低的可行性、针对性，得3分； 方案内容欠缺，缺乏针对性，得1分；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措施详尽，合理可行，逻辑清楚，针对性及可行性强，得9分； 措施较完善，有一定的逻辑性、针对性、可行性，得7分；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措施详尽，合理可行，逻辑清楚，针对性及可行性强，得8分；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措施详尽，合理可行，逻辑清楚，针对性及可行性强，得8分；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措施详尽，合理可行，逻辑清楚，针对性及可行性强，得8分；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各种设备配置齐全，材料充足，得8分； 各种设备配置较齐全，材料较充足，得6分； 各种设备配置、材料基本满足采购需求，得5分； 各种设备配置、材料勉强满足项目需求得3分； 各种设备配置不齐全，材料不足，不能满足项目需求得1分；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劳动力安排计划详细，合理，完全满足项目需求得8分； 劳动力安排计划满足要求，较合理，得6分； 劳动力安排计划基本满足要求，基本合理，得5分； 劳动力安排计划笼统，合理性一般，得3分；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项目部人员配备合理、分工科学、专业知识构架全面、岗位职责明确，得8分； 项目部人员配备较合理、分工较科学、岗位职责明确，得6分； 项目部人员配备基本合理、分工基本科学、岗位职责明确，得4分； 项目部人员配备合理性一般、分工明确，得3分 项目部人员配备不合理，得2分；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采用新技术、新产品、新工艺、新材料对提高质量、缩短工期、降低造价有极佳影响得8分； 影响较好得6分； 有一定影响得5分； 影响一般得3分； 影响较差得1分；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供应商自2022年1月1日以来类似项目业绩（业绩以合同复印件加盖公章为准）：每提供一份有效业绩证明得2分，满分为6分。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1.满足竞争性磋商文件要求且响应报价最低的响应总报价为评标基准价，其价格分为满分。2.响应总报价得分=(评标基准价／响应总报价)×价格权值×100计算分数时四舍五入取小数点后两位。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详见附件：合同-兴教寺.docx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