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版本号：JXZB2025-N101120250708002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香积寺善导塔消防工程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JXZB2025-N1011</w:t>
      </w:r>
      <w:r>
        <w:br/>
      </w:r>
      <w:r>
        <w:br/>
      </w:r>
      <w:r>
        <w:br/>
      </w:r>
    </w:p>
    <w:p>
      <w:pPr>
        <w:pStyle w:val="null3"/>
        <w:jc w:val="center"/>
        <w:outlineLvl w:val="2"/>
      </w:pPr>
      <w:r>
        <w:rPr>
          <w:rFonts w:ascii="仿宋_GB2312" w:hAnsi="仿宋_GB2312" w:cs="仿宋_GB2312" w:eastAsia="仿宋_GB2312"/>
          <w:sz w:val="28"/>
          <w:b/>
        </w:rPr>
        <w:t>西安市长安区文化和旅游体育局</w:t>
      </w:r>
    </w:p>
    <w:p>
      <w:pPr>
        <w:pStyle w:val="null3"/>
        <w:jc w:val="center"/>
        <w:outlineLvl w:val="2"/>
      </w:pPr>
      <w:r>
        <w:rPr>
          <w:rFonts w:ascii="仿宋_GB2312" w:hAnsi="仿宋_GB2312" w:cs="仿宋_GB2312" w:eastAsia="仿宋_GB2312"/>
          <w:sz w:val="28"/>
          <w:b/>
        </w:rPr>
        <w:t>中天久信管理咨询集团有限公司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中天久信管理咨询集团有限公司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西安市长安区文化和旅游体育局</w:t>
      </w:r>
      <w:r>
        <w:rPr>
          <w:rFonts w:ascii="仿宋_GB2312" w:hAnsi="仿宋_GB2312" w:cs="仿宋_GB2312" w:eastAsia="仿宋_GB2312"/>
        </w:rPr>
        <w:t>委托，拟对</w:t>
      </w:r>
      <w:r>
        <w:rPr>
          <w:rFonts w:ascii="仿宋_GB2312" w:hAnsi="仿宋_GB2312" w:cs="仿宋_GB2312" w:eastAsia="仿宋_GB2312"/>
        </w:rPr>
        <w:t>香积寺善导塔消防工程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JXZB2025-N1011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香积寺善导塔消防工程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香积寺善导塔消防工程。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采购包1（香积寺善导塔消防）：属于专门面向中小企业采购。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1、具有独立承担民事责任的能力：具有独立承担民事责任能力的法人、其他组织或自然人，提供合法有效的统一社会信用代码营业执照（事业单位提供事业单位法人证书，自然人提供身份证明）；</w:t>
      </w:r>
    </w:p>
    <w:p>
      <w:pPr>
        <w:pStyle w:val="null3"/>
      </w:pPr>
      <w:r>
        <w:rPr>
          <w:rFonts w:ascii="仿宋_GB2312" w:hAnsi="仿宋_GB2312" w:cs="仿宋_GB2312" w:eastAsia="仿宋_GB2312"/>
        </w:rPr>
        <w:t>2、法定代表人授权书及被授权人身份证：提供合格的法定代表人授权书（附法定代表人、被授权人身份证复印件）或法定代表人身份证明（法定代表人直接参加投标的）；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3、资质要求：供应商具备消防设施工程专业承包一级资质，且具有有效的安全生产许可证；</w:t>
      </w:r>
    </w:p>
    <w:p>
      <w:pPr>
        <w:pStyle w:val="null3"/>
      </w:pPr>
      <w:r>
        <w:rPr>
          <w:rFonts w:ascii="仿宋_GB2312" w:hAnsi="仿宋_GB2312" w:cs="仿宋_GB2312" w:eastAsia="仿宋_GB2312"/>
        </w:rPr>
        <w:t>4、项目负责人：项目经理需具备机电工程专业二级（含二级）及以上注册建造师证书和有效的安全生产考核合格证，在本单位注册且无在建工程；</w:t>
      </w:r>
    </w:p>
    <w:p>
      <w:pPr>
        <w:pStyle w:val="null3"/>
      </w:pPr>
      <w:r>
        <w:rPr>
          <w:rFonts w:ascii="仿宋_GB2312" w:hAnsi="仿宋_GB2312" w:cs="仿宋_GB2312" w:eastAsia="仿宋_GB2312"/>
        </w:rPr>
        <w:t>5、具有良好的商业信誉和健全的财务会计制度：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p>
      <w:pPr>
        <w:pStyle w:val="null3"/>
      </w:pPr>
      <w:r>
        <w:rPr>
          <w:rFonts w:ascii="仿宋_GB2312" w:hAnsi="仿宋_GB2312" w:cs="仿宋_GB2312" w:eastAsia="仿宋_GB2312"/>
        </w:rPr>
        <w:t>6、有依法缴纳税收的良好记录：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7、有依法缴纳社会保障资金的良好记录：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8、书面声明：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p>
      <w:pPr>
        <w:pStyle w:val="null3"/>
      </w:pPr>
      <w:r>
        <w:rPr>
          <w:rFonts w:ascii="仿宋_GB2312" w:hAnsi="仿宋_GB2312" w:cs="仿宋_GB2312" w:eastAsia="仿宋_GB2312"/>
        </w:rPr>
        <w:t>9、控股管理关系：单位负责人为同一人或存在直接控股、管理关系的不同单位，不得参加同一合同项下的政府采购活动；</w:t>
      </w:r>
    </w:p>
    <w:p>
      <w:pPr>
        <w:pStyle w:val="null3"/>
      </w:pPr>
      <w:r>
        <w:rPr>
          <w:rFonts w:ascii="仿宋_GB2312" w:hAnsi="仿宋_GB2312" w:cs="仿宋_GB2312" w:eastAsia="仿宋_GB2312"/>
        </w:rPr>
        <w:t>10、信用记录：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 注：以代理机构开标现场查询为准。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中天久信管理咨询集团有限公司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陕西省西安市高新区丈八街办唐延路11号禾盛京广中心E座23层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屈琳妮、贾晓燕、庞冰倩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029-89525802(转8001）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招标代理服务费。采购代理服务费的金额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按标准收取。（不足5000元的以5000元计取，在成交通知书发出前由成交供应商一次性支付）。 代理费缴存账户： 开户银行：建行西安丰禾路支行 账号：61001744100052500118 收款人名称：中天久信管理咨询集团有限公司 （备注：项目名称+包代理服务费）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西安市长安区文化和旅游体育局</w:t>
      </w:r>
      <w:r>
        <w:rPr>
          <w:rFonts w:ascii="仿宋_GB2312" w:hAnsi="仿宋_GB2312" w:cs="仿宋_GB2312" w:eastAsia="仿宋_GB2312"/>
        </w:rPr>
        <w:t>和</w:t>
      </w:r>
      <w:r>
        <w:rPr>
          <w:rFonts w:ascii="仿宋_GB2312" w:hAnsi="仿宋_GB2312" w:cs="仿宋_GB2312" w:eastAsia="仿宋_GB2312"/>
        </w:rPr>
        <w:t>中天久信管理咨询集团有限公司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中天久信管理咨询集团有限公司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中天久信管理咨询集团有限公司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采购文件、响应文件、合同约定及相关标准执行。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中天久信管理咨询集团有限公司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联系人：屈琳妮、贾晓燕</w:t>
      </w:r>
    </w:p>
    <w:p>
      <w:pPr>
        <w:pStyle w:val="null3"/>
      </w:pPr>
      <w:r>
        <w:rPr>
          <w:rFonts w:ascii="仿宋_GB2312" w:hAnsi="仿宋_GB2312" w:cs="仿宋_GB2312" w:eastAsia="仿宋_GB2312"/>
        </w:rPr>
        <w:t>联系电话：029-89525802转8001</w:t>
      </w:r>
    </w:p>
    <w:p>
      <w:pPr>
        <w:pStyle w:val="null3"/>
      </w:pPr>
      <w:r>
        <w:rPr>
          <w:rFonts w:ascii="仿宋_GB2312" w:hAnsi="仿宋_GB2312" w:cs="仿宋_GB2312" w:eastAsia="仿宋_GB2312"/>
        </w:rPr>
        <w:t>地址：陕西省西安市雁塔区唐延路11号禾盛京广中心E座23楼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2,650,000.00</w:t>
      </w:r>
    </w:p>
    <w:p>
      <w:pPr>
        <w:pStyle w:val="null3"/>
      </w:pPr>
      <w:r>
        <w:rPr>
          <w:rFonts w:ascii="仿宋_GB2312" w:hAnsi="仿宋_GB2312" w:cs="仿宋_GB2312" w:eastAsia="仿宋_GB2312"/>
        </w:rPr>
        <w:t>采购包最高限价（元）: 2,649,720.49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香积寺善导塔消防</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标的名称：香积寺善导塔消防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详见附件</w:t>
            </w:r>
            <w:r>
              <w:rPr>
                <w:rFonts w:ascii="仿宋_GB2312" w:hAnsi="仿宋_GB2312" w:cs="仿宋_GB2312" w:eastAsia="仿宋_GB2312"/>
                <w:sz w:val="20"/>
              </w:rPr>
              <w:t>“工程量清单”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之日起90日历天。2.质量标准：达到国家现行施工验收规范“合格”标准。3.缺陷责任期（工程质量保修期）：工程竣工验收合格后1年，成交人承诺的质保时间超过国家标准要求的，按其承诺时间质保。成交人承诺的质保期起始时间为终验合格之日。4.付款方式：（1）付款方式： 本项目合同签订后，达到付款条件起15日内，支付合同总金额的 30%作为预付款；施工完成后，达到付款条件起15日内，支付合同总金额的 50% ，竣工验收合格审计结束后，达到付款条件起15日内，支付合同总金额的17%，剩余3%作为质量保修金，竣工验收合格缺陷责任期满后免息支付（扣除相关应扣费用）。（2）每期付款时供应商提供等额发票申请款项。5.运输、进度：成交单位负责施工过程中材料的运输、施工及其他伴随服务。6.技术规范及要求：执行国家、省、市现行的相关规定及标准文件。7.竣工验收：（1）竣工须达到的标准和具备工程验收的条件；（2）工程验收规范、标准，验收的组织实施；（3）工程验收合格须移交的工程资料和竣工图纸等。8.验收依据：（1）合同文本及合同补充文件（条款）；（2）磋商文件及成交单位的磋商响应文件；（3）国家、省、市现行的施工验收标准及相关规定文件。（4）国家相关法律法规。 备注：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供应商具备消防设施工程专业承包一级资质，且具有有效的安全生产许可证；</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项目经理需具备机电工程专业二级（含二级）及以上注册建造师证书和有效的安全生产考核合格证，在本单位注册且无在建工程；</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经审计的2023年或2024年财务审计报告（成立时间至提交投标文件截止时间不足一年的可提供成立后任意时段的资产负债表），或提交投标截止时间前6个月内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12个月内至少一个月依法缴纳税款的相关凭据（时间以税款所属日期为准），凭据应有税务机关或代收机关的公章或业务专用章；其他组织和自然人提供缴纳税收的凭据；依法免税或无须缴纳税款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截止时间前12个月内至少一个月已缴纳的社会保障资金的证明（带有社保机构公章的社会保障资金缴存单据或社保机构开具的社会保险参保缴费情况证明等）；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①具有履行合同所必需的设备和专业技术能力：提供具有履行本合同所必需的设备和专业技术能力的书面声明；②参加政府采购活动前三年内，在经营活动中没有重大违法记录：无重大违法记录书面声明； ③供应商未为本项目提供整体设计、规范编制或者项目管理、监理、检测等服务的书面声明；</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严重失信主体名单，不得为“中国执行信息公开网”（http://zxgk.court.gov.cn/）中列入失信被执行人，不得为中国政府采购网（www.ccgp.gov.cn）政府采购严重违法失信行为记录名单中被财政部门禁止参加政府采购活动的供应商。 注：以代理机构开标现场查询为准。</w:t>
            </w:r>
          </w:p>
        </w:tc>
        <w:tc>
          <w:tcPr>
            <w:tcW w:type="dxa" w:w="1661"/>
          </w:tcPr>
          <w:p>
            <w:pPr>
              <w:pStyle w:val="null3"/>
            </w:pPr>
            <w:r>
              <w:rPr>
                <w:rFonts w:ascii="仿宋_GB2312" w:hAnsi="仿宋_GB2312" w:cs="仿宋_GB2312" w:eastAsia="仿宋_GB2312"/>
              </w:rPr>
              <w:t>供应商应提交的相关资格证明材料 响应函 供应商承诺书.docx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响应报价未超过采购预算或最高限价</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方案内容全面，合规性、可行性强，得9分； 方案满足要求，可行性和针对性较强，得7分； 方案基本满足要求，有一定的可行性和针对性，得5分； 方案内容简单笼统，具有较低的可行性、针对性，得3分； 方案内容欠缺，缺乏针对性，得1分；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措施详尽，合理可行，逻辑清楚，针对性及可行性强，得9分； 措施较完善，有一定的逻辑性、针对性、可行性，得7分；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措施详尽，合理可行，逻辑清楚，针对性及可行性强，得8分；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措施详尽，合理可行，逻辑清楚，针对性及可行性强，得8分；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措施详尽，合理可行，逻辑清楚，针对性及可行性强，得8分； 措施较完善，有一定的逻辑性、针对性、可行性，得6分； 措施内容基本合理，基本可行得5分； 措施内容简单笼统，方案针对性一般得3分； 措施内容缺失、方案针对性较差得1分；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各种设备配置齐全，材料充足，得8分； 各种设备配置较齐全，材料较充足，得6分； 各种设备配置、材料基本满足采购需求，得5分； 各种设备配置、材料勉强满足项目需求得3分； 各种设备配置不齐全，材料不足，不能满足项目需求得1分；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劳动力安排计划详细，合理，完全满足项目需求得8分； 劳动力安排计划满足要求，较合理，得6分； 劳动力安排计划基本满足要求，基本合理，得5分； 劳动力安排计划笼统，合理性一般，得3分； 劳动力安排计划不合理，不能满足项目需求得1分；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项目部人员配备合理、分工科学、专业知识构架全面、岗位职责明确，得8分； 项目部人员配备较合理、分工较科学、岗位职责明确，得6分； 项目部人员配备基本合理、分工基本科学、岗位职责明确，得4分； 项目部人员配备合理性一般、分工明确，得3分 项目部人员配备不合理，得2分；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采用新技术、新产品、新工艺、新材料对提高质量、缩短工期、降低造价有极佳影响得8分； 影响较好得6分； 有一定影响得5分； 影响一般得3分； 影响较差得1分；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供应商自2022年1月1日以来类似项目业绩（业绩以合同复印件加盖公章为准）：每提供一份有效业绩证明得2分，满分为6分。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1.满足竞争性磋商文件要求且响应报价最低的响应总报价为评标基准价，其价格分为满分。2.响应总报价得分=(评标基准价／响应总报价)×价格权值×100计算分数时四舍五入取小数点后两位。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详见附件：合同-香积寺善导塔消防工程.docx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