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D9870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szCs w:val="32"/>
          <w:highlight w:val="none"/>
          <w:lang w:val="en-US" w:eastAsia="zh-CN"/>
        </w:rPr>
        <w:t>商务主要条款响应偏差</w:t>
      </w:r>
      <w:r>
        <w:rPr>
          <w:rFonts w:hint="eastAsia" w:ascii="仿宋" w:hAnsi="仿宋" w:eastAsia="仿宋" w:cs="仿宋"/>
          <w:color w:val="auto"/>
          <w:szCs w:val="32"/>
          <w:highlight w:val="none"/>
        </w:rPr>
        <w:t>表</w:t>
      </w:r>
    </w:p>
    <w:bookmarkEnd w:id="0"/>
    <w:p w14:paraId="2FFBA2E6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</w:t>
      </w:r>
    </w:p>
    <w:tbl>
      <w:tblPr>
        <w:tblStyle w:val="8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2855F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2FA27B0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7BB66C5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磋商文件商务</w:t>
            </w:r>
          </w:p>
          <w:p w14:paraId="28B669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F838B3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磋商响应文件商务</w:t>
            </w:r>
          </w:p>
          <w:p w14:paraId="28C44E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3D293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736365A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偏离及</w:t>
            </w:r>
          </w:p>
          <w:p w14:paraId="3D844B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其影响</w:t>
            </w:r>
          </w:p>
        </w:tc>
      </w:tr>
      <w:tr w14:paraId="1DFCFD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7D431F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763067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4310B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73632A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BF971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2BED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165FBBA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2A47C97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33269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77A0B2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EF3DF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4B24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996B50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CEBE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EF1E3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7FD14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5D691F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EE2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D392A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325F141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90F15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DF40F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24B4DC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C4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CBF8A4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56EE966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C3944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9F1DD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2B7C1C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8DBB74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4BDC8F62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9201DE4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79AF2CB4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99C5C3A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3524A9DD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5E01578B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0D404334"/>
    <w:rsid w:val="16ED4D90"/>
    <w:rsid w:val="1FF17CBA"/>
    <w:rsid w:val="33A1074F"/>
    <w:rsid w:val="63E77D3B"/>
    <w:rsid w:val="691813E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C50A2DD0D03E4BBE8FC2313C2108F858_13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