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版本号：QCZB-2025-02620250819002</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西安市长安区魏寨街道魏寨村中央扶持发展新型农村集体经济项目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QCZB-2025-026</w:t>
      </w:r>
      <w:r>
        <w:br/>
      </w:r>
      <w:r>
        <w:br/>
      </w:r>
      <w:r>
        <w:br/>
      </w:r>
    </w:p>
    <w:p>
      <w:pPr>
        <w:pStyle w:val="null3"/>
        <w:jc w:val="center"/>
        <w:outlineLvl w:val="2"/>
      </w:pPr>
      <w:r>
        <w:rPr>
          <w:rFonts w:ascii="仿宋_GB2312" w:hAnsi="仿宋_GB2312" w:cs="仿宋_GB2312" w:eastAsia="仿宋_GB2312"/>
          <w:sz w:val="28"/>
          <w:b/>
        </w:rPr>
        <w:t>西安市长安区魏寨街道办事处</w:t>
      </w:r>
    </w:p>
    <w:p>
      <w:pPr>
        <w:pStyle w:val="null3"/>
        <w:jc w:val="center"/>
        <w:outlineLvl w:val="2"/>
      </w:pPr>
      <w:r>
        <w:rPr>
          <w:rFonts w:ascii="仿宋_GB2312" w:hAnsi="仿宋_GB2312" w:cs="仿宋_GB2312" w:eastAsia="仿宋_GB2312"/>
          <w:sz w:val="28"/>
          <w:b/>
        </w:rPr>
        <w:t>陕西乾畅工程项目管理有限公司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2025年08月19日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陕西乾畅工程项目管理有限公司</w:t>
      </w:r>
      <w:r>
        <w:rPr>
          <w:rFonts w:ascii="仿宋_GB2312" w:hAnsi="仿宋_GB2312" w:cs="仿宋_GB2312" w:eastAsia="仿宋_GB2312"/>
        </w:rPr>
        <w:t>（以下简称“代理机构”）受</w:t>
      </w:r>
      <w:r>
        <w:rPr>
          <w:rFonts w:ascii="仿宋_GB2312" w:hAnsi="仿宋_GB2312" w:cs="仿宋_GB2312" w:eastAsia="仿宋_GB2312"/>
        </w:rPr>
        <w:t>西安市长安区魏寨街道办事处</w:t>
      </w:r>
      <w:r>
        <w:rPr>
          <w:rFonts w:ascii="仿宋_GB2312" w:hAnsi="仿宋_GB2312" w:cs="仿宋_GB2312" w:eastAsia="仿宋_GB2312"/>
        </w:rPr>
        <w:t>委托，拟对</w:t>
      </w:r>
      <w:r>
        <w:rPr>
          <w:rFonts w:ascii="仿宋_GB2312" w:hAnsi="仿宋_GB2312" w:cs="仿宋_GB2312" w:eastAsia="仿宋_GB2312"/>
        </w:rPr>
        <w:t>西安市长安区魏寨街道魏寨村中央扶持发展新型农村集体经济项目</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QCZB-2025-026</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西安市长安区魏寨街道魏寨村中央扶持发展新型农村集体经济项目</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西安市长安区魏寨街道魏寨村中央扶持发展新型农村集体经济项目采购内容如下：采购液化设备1台，糖化设备1台，酒精发酵设备4台，固态智能酿醋设备1台，液态智能酿醋设备1台。</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采购包1（西安市长安区魏寨街道魏寨村中央扶持发展新型农村集体经济项目）：属于专门面向中小企业采购。</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具有独立承担民事责任能力的企业法人或其他组织，提供合法有效的（三证合一）统一社会信用代码的营业执照等证明文件，供应商需在项目电子化交易系统中按要求上传相应证明文件并进行电子签章；</w:t>
      </w:r>
    </w:p>
    <w:p>
      <w:pPr>
        <w:pStyle w:val="null3"/>
      </w:pPr>
      <w:r>
        <w:rPr>
          <w:rFonts w:ascii="仿宋_GB2312" w:hAnsi="仿宋_GB2312" w:cs="仿宋_GB2312" w:eastAsia="仿宋_GB2312"/>
        </w:rPr>
        <w:t>2、法定代表人身份证明书及授权书：法定代表人直接投标须提交法定代表人身份证明书，法定代表人授权代表参加投标的，须出具法定代表人授权书及被授权人身份证复印件，供应商需在项目电子化交易系统中按要求上传相应证明文件并进行电子签章；</w:t>
      </w:r>
    </w:p>
    <w:p>
      <w:pPr>
        <w:pStyle w:val="null3"/>
      </w:pPr>
      <w:r>
        <w:rPr>
          <w:rFonts w:ascii="仿宋_GB2312" w:hAnsi="仿宋_GB2312" w:cs="仿宋_GB2312" w:eastAsia="仿宋_GB2312"/>
        </w:rPr>
        <w:t>3、审计报告：供应商须提供2023年度或2024年度经会计师事务所审计的审计报告（新成立企业可从成立当年开始提供相对应的财务报表）或其基本存款账户开户银行出具的资信证明（资信证明开具日期为采购公告发布之日后），或财政部门认可的政府采购专业担保机构出具的投标担保函；供应商需在项目电子化交易系统中按要求上传相应证明文件并进行电子签章；</w:t>
      </w:r>
    </w:p>
    <w:p>
      <w:pPr>
        <w:pStyle w:val="null3"/>
      </w:pPr>
      <w:r>
        <w:rPr>
          <w:rFonts w:ascii="仿宋_GB2312" w:hAnsi="仿宋_GB2312" w:cs="仿宋_GB2312" w:eastAsia="仿宋_GB2312"/>
        </w:rPr>
        <w:t>4、税收缴纳凭证：供应商须提供投标截止时间前十二个月内任意一个月的税收缴纳凭证（注：依法免税或零申报的供应商应提供相关文件证明；若为新成立企业须提供相应月度的缴税证明），供应商需在项目电子化交易系统中按要求上传相应证明文件并进行电子签章；</w:t>
      </w:r>
    </w:p>
    <w:p>
      <w:pPr>
        <w:pStyle w:val="null3"/>
      </w:pPr>
      <w:r>
        <w:rPr>
          <w:rFonts w:ascii="仿宋_GB2312" w:hAnsi="仿宋_GB2312" w:cs="仿宋_GB2312" w:eastAsia="仿宋_GB2312"/>
        </w:rPr>
        <w:t>5、社会保险缴纳凭证：供应商须提供投标截止时间前十二个月内任意一个月的社会保险缴纳凭证（注：依法不需要缴纳社会保障资金的供应商应提供相关文件证明；若为新成立企业可提供相应月度的社会保险缴纳证明），供应商需在项目电子化交易系统中按要求上传相应证明文件并进行电子签章；</w:t>
      </w:r>
    </w:p>
    <w:p>
      <w:pPr>
        <w:pStyle w:val="null3"/>
      </w:pPr>
      <w:r>
        <w:rPr>
          <w:rFonts w:ascii="仿宋_GB2312" w:hAnsi="仿宋_GB2312" w:cs="仿宋_GB2312" w:eastAsia="仿宋_GB2312"/>
        </w:rPr>
        <w:t>6、具有履行合同所必需的设备和专业技术能力的承诺函：供应商须提供具有履行合同所必需的设备和专业技术能力的承诺函(加盖供应商公章)，供应商需在项目电子化交易系统中按要求上传相应证明文件并进行电子签章；</w:t>
      </w:r>
    </w:p>
    <w:p>
      <w:pPr>
        <w:pStyle w:val="null3"/>
      </w:pPr>
      <w:r>
        <w:rPr>
          <w:rFonts w:ascii="仿宋_GB2312" w:hAnsi="仿宋_GB2312" w:cs="仿宋_GB2312" w:eastAsia="仿宋_GB2312"/>
        </w:rPr>
        <w:t>7、书面声明：供应商应具备良好的商业信誉，提供参加政府采购活动前3年内在经营活动中没有重大违法记录的书面声明，供应商需在项目电子化交易系统中按要求上传相应证明文件并进行电子签章；</w:t>
      </w:r>
    </w:p>
    <w:p>
      <w:pPr>
        <w:pStyle w:val="null3"/>
      </w:pPr>
      <w:r>
        <w:rPr>
          <w:rFonts w:ascii="仿宋_GB2312" w:hAnsi="仿宋_GB2312" w:cs="仿宋_GB2312" w:eastAsia="仿宋_GB2312"/>
        </w:rPr>
        <w:t>8、不良行为查询：供应商不得为“信用中国”网站中被列入失信被执行人、重大税收违法案件当事人名单，不得为中国政府采购网政府采购严重违法失信行为记录名单中被财政部门禁止参加政府采购活动的供应商（不强制要求供应商提供查询截图，以开标当天网上查询结果为评审依据）；</w:t>
      </w:r>
    </w:p>
    <w:p>
      <w:pPr>
        <w:pStyle w:val="null3"/>
      </w:pPr>
      <w:r>
        <w:rPr>
          <w:rFonts w:ascii="仿宋_GB2312" w:hAnsi="仿宋_GB2312" w:cs="仿宋_GB2312" w:eastAsia="仿宋_GB2312"/>
        </w:rPr>
        <w:t>9、中小企业声明函：本项目专门面向中小企业采购，仅限符合《政府采购促进中小企业发展管理办法》（财库〔2020〕46号）条件的企业参与，供应商应填写中小企业声明函并对真实性负责（残疾人福利性单位及监狱企业视同为小型、微型企业）；供应商需在项目电子化交易系统中按要求上传相应证明文件并进行电子签章；</w:t>
      </w:r>
    </w:p>
    <w:p>
      <w:pPr>
        <w:pStyle w:val="null3"/>
      </w:pPr>
      <w:r>
        <w:rPr>
          <w:rFonts w:ascii="仿宋_GB2312" w:hAnsi="仿宋_GB2312" w:cs="仿宋_GB2312" w:eastAsia="仿宋_GB2312"/>
        </w:rPr>
        <w:t>10、关联关系承诺书：单位负责人为同一人或者存在直接控股、管理关系的不同供应商，不得参加同一合同项下的投标活动；供应商需在项目电子化交易系统中按要求上传相应证明文件并进行电子签章。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西安市长安区魏寨街道办事处</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西安市长安区魏寨街道西坡甲子一号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710102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18192331153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陕西乾畅工程项目管理有限公司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陕西省西安市雁塔区陕西省西安市雁塔区太白南路东侧紫薇尚层西区1幢10605室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卢鹏</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19209375233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西安市长安区政府采购管理股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左崇伟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85645891</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代理服务费收费标准：代理服务费参照《国家计委关于印发&lt;招标代理服务收费管理暂行办法&gt;的通知》（计价格【2002】1980号）和发改办价格【2003】 857号以及发改价格【2011】534号文中规定的标准执行计取。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西安市长安区魏寨街道办事处</w:t>
      </w:r>
      <w:r>
        <w:rPr>
          <w:rFonts w:ascii="仿宋_GB2312" w:hAnsi="仿宋_GB2312" w:cs="仿宋_GB2312" w:eastAsia="仿宋_GB2312"/>
        </w:rPr>
        <w:t>和</w:t>
      </w:r>
      <w:r>
        <w:rPr>
          <w:rFonts w:ascii="仿宋_GB2312" w:hAnsi="仿宋_GB2312" w:cs="仿宋_GB2312" w:eastAsia="仿宋_GB2312"/>
        </w:rPr>
        <w:t>陕西乾畅工程项目管理有限公司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西安市长安区魏寨街道办事处</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陕西乾畅工程项目管理有限公司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西安市长安区魏寨街道办事处</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陕西乾畅工程项目管理有限公司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所有产品质量必须符合国家有关规范和相关政策。所有产品及辅材必须是未使用过的新产品，质量优良、渠道正当，配置合理。</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陕西乾畅工程项目管理有限公司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陕西乾畅工程项目管理有限公司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陕西乾畅工程项目管理有限公司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联系人：卢鹏</w:t>
      </w:r>
    </w:p>
    <w:p>
      <w:pPr>
        <w:pStyle w:val="null3"/>
      </w:pPr>
      <w:r>
        <w:rPr>
          <w:rFonts w:ascii="仿宋_GB2312" w:hAnsi="仿宋_GB2312" w:cs="仿宋_GB2312" w:eastAsia="仿宋_GB2312"/>
        </w:rPr>
        <w:t>联系电话：19209375233</w:t>
      </w:r>
    </w:p>
    <w:p>
      <w:pPr>
        <w:pStyle w:val="null3"/>
      </w:pPr>
      <w:r>
        <w:rPr>
          <w:rFonts w:ascii="仿宋_GB2312" w:hAnsi="仿宋_GB2312" w:cs="仿宋_GB2312" w:eastAsia="仿宋_GB2312"/>
        </w:rPr>
        <w:t>地址：西安市雁塔区太白南路5号紫薇尚层西一楼一单元605室</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西安市长安区魏寨街道魏寨村中央扶持发展新型农村集体经济项目采购内容如下：采购液化设备1台，糖化设备1台，酒精发酵设备4台，固态智能酿醋设备1台，液态智能酿醋设备1台。</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700,000.00</w:t>
      </w:r>
    </w:p>
    <w:p>
      <w:pPr>
        <w:pStyle w:val="null3"/>
      </w:pPr>
      <w:r>
        <w:rPr>
          <w:rFonts w:ascii="仿宋_GB2312" w:hAnsi="仿宋_GB2312" w:cs="仿宋_GB2312" w:eastAsia="仿宋_GB2312"/>
        </w:rPr>
        <w:t>采购包最高限价（元）: 700,000.00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西安市长安区魏寨街道魏寨村中央扶持发展新型农村集体经济项目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标的名称：西安市长安区魏寨街道魏寨村中央扶持发展新型农村集体经济项目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b/>
                <w:color w:val="000000"/>
              </w:rPr>
              <w:t>一、技术参数</w:t>
            </w:r>
          </w:p>
          <w:tbl>
            <w:tblPr>
              <w:tblBorders>
                <w:top w:val="none" w:color="000000" w:sz="4"/>
                <w:left w:val="none" w:color="000000" w:sz="4"/>
                <w:bottom w:val="none" w:color="000000" w:sz="4"/>
                <w:right w:val="none" w:color="000000" w:sz="4"/>
                <w:insideH w:val="none"/>
                <w:insideV w:val="none"/>
              </w:tblBorders>
            </w:tblPr>
            <w:tblGrid>
              <w:gridCol w:w="438"/>
              <w:gridCol w:w="1178"/>
              <w:gridCol w:w="2207"/>
            </w:tblGrid>
            <w:tr>
              <w:tc>
                <w:tcPr>
                  <w:tcW w:type="dxa" w:w="43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序号</w:t>
                  </w:r>
                </w:p>
              </w:tc>
              <w:tc>
                <w:tcPr>
                  <w:tcW w:type="dxa" w:w="117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设备名称</w:t>
                  </w:r>
                </w:p>
              </w:tc>
              <w:tc>
                <w:tcPr>
                  <w:tcW w:type="dxa" w:w="220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2"/>
                    <w:jc w:val="center"/>
                  </w:pPr>
                  <w:r>
                    <w:rPr>
                      <w:rFonts w:ascii="仿宋_GB2312" w:hAnsi="仿宋_GB2312" w:cs="仿宋_GB2312" w:eastAsia="仿宋_GB2312"/>
                      <w:sz w:val="24"/>
                      <w:b/>
                    </w:rPr>
                    <w:t>参数</w:t>
                  </w:r>
                </w:p>
              </w:tc>
            </w:tr>
            <w:tr>
              <w:tc>
                <w:tcPr>
                  <w:tcW w:type="dxa" w:w="4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1</w:t>
                  </w:r>
                </w:p>
              </w:tc>
              <w:tc>
                <w:tcPr>
                  <w:tcW w:type="dxa" w:w="1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液化设备（</w:t>
                  </w:r>
                  <w:r>
                    <w:rPr>
                      <w:rFonts w:ascii="仿宋_GB2312" w:hAnsi="仿宋_GB2312" w:cs="仿宋_GB2312" w:eastAsia="仿宋_GB2312"/>
                      <w:sz w:val="24"/>
                      <w:b/>
                    </w:rPr>
                    <w:t>1台）</w:t>
                  </w:r>
                </w:p>
              </w:tc>
              <w:tc>
                <w:tcPr>
                  <w:tcW w:type="dxa" w:w="22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1）材质采用不低于06Cr19Ni10（SUS304）不锈钢(罐体/封头/焊丝)</w:t>
                  </w:r>
                  <w:r>
                    <w:br/>
                  </w:r>
                  <w:r>
                    <w:rPr>
                      <w:rFonts w:ascii="仿宋_GB2312" w:hAnsi="仿宋_GB2312" w:cs="仿宋_GB2312" w:eastAsia="仿宋_GB2312"/>
                      <w:sz w:val="24"/>
                    </w:rPr>
                    <w:t>2）核心参数</w:t>
                  </w:r>
                  <w:r>
                    <w:br/>
                  </w:r>
                  <w:r>
                    <w:rPr>
                      <w:rFonts w:ascii="仿宋_GB2312" w:hAnsi="仿宋_GB2312" w:cs="仿宋_GB2312" w:eastAsia="仿宋_GB2312"/>
                      <w:sz w:val="24"/>
                    </w:rPr>
                    <w:t>①有效容积：≥2.5m³</w:t>
                  </w:r>
                </w:p>
                <w:p>
                  <w:pPr>
                    <w:pStyle w:val="null3"/>
                    <w:jc w:val="both"/>
                  </w:pPr>
                  <w:r>
                    <w:rPr>
                      <w:rFonts w:ascii="仿宋_GB2312" w:hAnsi="仿宋_GB2312" w:cs="仿宋_GB2312" w:eastAsia="仿宋_GB2312"/>
                      <w:sz w:val="24"/>
                    </w:rPr>
                    <w:t>②加热面积：≥6.8m²</w:t>
                  </w:r>
                </w:p>
                <w:p>
                  <w:pPr>
                    <w:pStyle w:val="null3"/>
                    <w:jc w:val="both"/>
                  </w:pPr>
                  <w:r>
                    <w:rPr>
                      <w:rFonts w:ascii="仿宋_GB2312" w:hAnsi="仿宋_GB2312" w:cs="仿宋_GB2312" w:eastAsia="仿宋_GB2312"/>
                      <w:sz w:val="24"/>
                    </w:rPr>
                    <w:t>③工作压力：≥0.1MPa</w:t>
                  </w:r>
                </w:p>
                <w:p>
                  <w:pPr>
                    <w:pStyle w:val="null3"/>
                    <w:jc w:val="both"/>
                  </w:pPr>
                  <w:r>
                    <w:rPr>
                      <w:rFonts w:ascii="仿宋_GB2312" w:hAnsi="仿宋_GB2312" w:cs="仿宋_GB2312" w:eastAsia="仿宋_GB2312"/>
                      <w:sz w:val="24"/>
                    </w:rPr>
                    <w:t>④控制方式：PLC</w:t>
                  </w:r>
                  <w:r>
                    <w:br/>
                  </w:r>
                  <w:r>
                    <w:rPr>
                      <w:rFonts w:ascii="仿宋_GB2312" w:hAnsi="仿宋_GB2312" w:cs="仿宋_GB2312" w:eastAsia="仿宋_GB2312"/>
                      <w:sz w:val="24"/>
                    </w:rPr>
                    <w:t>3）一般参数</w:t>
                  </w:r>
                  <w:r>
                    <w:br/>
                  </w:r>
                  <w:r>
                    <w:rPr>
                      <w:rFonts w:ascii="仿宋_GB2312" w:hAnsi="仿宋_GB2312" w:cs="仿宋_GB2312" w:eastAsia="仿宋_GB2312"/>
                      <w:sz w:val="24"/>
                    </w:rPr>
                    <w:t>①温升速度：&gt;1K/min</w:t>
                  </w:r>
                  <w:r>
                    <w:br/>
                  </w:r>
                  <w:r>
                    <w:rPr>
                      <w:rFonts w:ascii="仿宋_GB2312" w:hAnsi="仿宋_GB2312" w:cs="仿宋_GB2312" w:eastAsia="仿宋_GB2312"/>
                      <w:sz w:val="24"/>
                    </w:rPr>
                    <w:t>②工作温度：0-100℃</w:t>
                  </w:r>
                </w:p>
                <w:p>
                  <w:pPr>
                    <w:pStyle w:val="null3"/>
                    <w:jc w:val="both"/>
                  </w:pPr>
                  <w:r>
                    <w:rPr>
                      <w:rFonts w:ascii="仿宋_GB2312" w:hAnsi="仿宋_GB2312" w:cs="仿宋_GB2312" w:eastAsia="仿宋_GB2312"/>
                      <w:sz w:val="24"/>
                    </w:rPr>
                    <w:t>③搅拌线速度：≤3m/s</w:t>
                  </w:r>
                </w:p>
                <w:p>
                  <w:pPr>
                    <w:pStyle w:val="null3"/>
                    <w:jc w:val="both"/>
                  </w:pPr>
                  <w:r>
                    <w:rPr>
                      <w:rFonts w:ascii="仿宋_GB2312" w:hAnsi="仿宋_GB2312" w:cs="仿宋_GB2312" w:eastAsia="仿宋_GB2312"/>
                      <w:sz w:val="24"/>
                    </w:rPr>
                    <w:t>④密封性：零泄漏</w:t>
                  </w:r>
                </w:p>
                <w:p>
                  <w:pPr>
                    <w:pStyle w:val="null3"/>
                    <w:jc w:val="both"/>
                  </w:pPr>
                  <w:r>
                    <w:rPr>
                      <w:rFonts w:ascii="仿宋_GB2312" w:hAnsi="仿宋_GB2312" w:cs="仿宋_GB2312" w:eastAsia="仿宋_GB2312"/>
                      <w:sz w:val="24"/>
                    </w:rPr>
                    <w:t>⑤绝缘电阻：≥5MΩ</w:t>
                  </w:r>
                </w:p>
              </w:tc>
            </w:tr>
            <w:tr>
              <w:tc>
                <w:tcPr>
                  <w:tcW w:type="dxa" w:w="4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2</w:t>
                  </w:r>
                </w:p>
              </w:tc>
              <w:tc>
                <w:tcPr>
                  <w:tcW w:type="dxa" w:w="1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糖化设备（</w:t>
                  </w:r>
                  <w:r>
                    <w:rPr>
                      <w:rFonts w:ascii="仿宋_GB2312" w:hAnsi="仿宋_GB2312" w:cs="仿宋_GB2312" w:eastAsia="仿宋_GB2312"/>
                      <w:sz w:val="24"/>
                      <w:b/>
                    </w:rPr>
                    <w:t>1台）</w:t>
                  </w:r>
                </w:p>
              </w:tc>
              <w:tc>
                <w:tcPr>
                  <w:tcW w:type="dxa" w:w="22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1）材质采用不低于06Cr19Ni10（SUS304）不锈钢</w:t>
                  </w:r>
                  <w:r>
                    <w:br/>
                  </w:r>
                  <w:r>
                    <w:rPr>
                      <w:rFonts w:ascii="仿宋_GB2312" w:hAnsi="仿宋_GB2312" w:cs="仿宋_GB2312" w:eastAsia="仿宋_GB2312"/>
                      <w:sz w:val="24"/>
                    </w:rPr>
                    <w:t>2）核心参数</w:t>
                  </w:r>
                  <w:r>
                    <w:br/>
                  </w:r>
                  <w:r>
                    <w:rPr>
                      <w:rFonts w:ascii="仿宋_GB2312" w:hAnsi="仿宋_GB2312" w:cs="仿宋_GB2312" w:eastAsia="仿宋_GB2312"/>
                      <w:sz w:val="24"/>
                    </w:rPr>
                    <w:t>①有效容积</w:t>
                  </w:r>
                  <w:r>
                    <w:rPr>
                      <w:rFonts w:ascii="仿宋_GB2312" w:hAnsi="仿宋_GB2312" w:cs="仿宋_GB2312" w:eastAsia="仿宋_GB2312"/>
                      <w:sz w:val="24"/>
                    </w:rPr>
                    <w:t>：</w:t>
                  </w:r>
                  <w:r>
                    <w:rPr>
                      <w:rFonts w:ascii="仿宋_GB2312" w:hAnsi="仿宋_GB2312" w:cs="仿宋_GB2312" w:eastAsia="仿宋_GB2312"/>
                      <w:sz w:val="24"/>
                    </w:rPr>
                    <w:t>2.5</w:t>
                  </w:r>
                  <w:r>
                    <w:rPr>
                      <w:rFonts w:ascii="仿宋_GB2312" w:hAnsi="仿宋_GB2312" w:cs="仿宋_GB2312" w:eastAsia="仿宋_GB2312"/>
                      <w:sz w:val="24"/>
                    </w:rPr>
                    <w:t>m³（±0.1m³）</w:t>
                  </w:r>
                </w:p>
                <w:p>
                  <w:pPr>
                    <w:pStyle w:val="null3"/>
                    <w:jc w:val="both"/>
                  </w:pPr>
                  <w:r>
                    <w:rPr>
                      <w:rFonts w:ascii="仿宋_GB2312" w:hAnsi="仿宋_GB2312" w:cs="仿宋_GB2312" w:eastAsia="仿宋_GB2312"/>
                      <w:sz w:val="24"/>
                    </w:rPr>
                    <w:t>②冷却面积：≥6.0m²</w:t>
                  </w:r>
                </w:p>
                <w:p>
                  <w:pPr>
                    <w:pStyle w:val="null3"/>
                    <w:jc w:val="both"/>
                  </w:pPr>
                  <w:r>
                    <w:rPr>
                      <w:rFonts w:ascii="仿宋_GB2312" w:hAnsi="仿宋_GB2312" w:cs="仿宋_GB2312" w:eastAsia="仿宋_GB2312"/>
                      <w:sz w:val="24"/>
                    </w:rPr>
                    <w:t>③粗糙度：Ra≤0.40μm</w:t>
                  </w:r>
                </w:p>
                <w:p>
                  <w:pPr>
                    <w:pStyle w:val="null3"/>
                    <w:jc w:val="both"/>
                  </w:pPr>
                  <w:r>
                    <w:rPr>
                      <w:rFonts w:ascii="仿宋_GB2312" w:hAnsi="仿宋_GB2312" w:cs="仿宋_GB2312" w:eastAsia="仿宋_GB2312"/>
                      <w:sz w:val="24"/>
                    </w:rPr>
                    <w:t>④噪声：≤80dB(A)</w:t>
                  </w:r>
                </w:p>
                <w:p>
                  <w:pPr>
                    <w:pStyle w:val="null3"/>
                    <w:jc w:val="both"/>
                  </w:pPr>
                  <w:r>
                    <w:rPr>
                      <w:rFonts w:ascii="仿宋_GB2312" w:hAnsi="仿宋_GB2312" w:cs="仿宋_GB2312" w:eastAsia="仿宋_GB2312"/>
                      <w:sz w:val="24"/>
                    </w:rPr>
                    <w:t>⑤控制方式：PLC</w:t>
                  </w:r>
                  <w:r>
                    <w:br/>
                  </w:r>
                  <w:r>
                    <w:rPr>
                      <w:rFonts w:ascii="仿宋_GB2312" w:hAnsi="仿宋_GB2312" w:cs="仿宋_GB2312" w:eastAsia="仿宋_GB2312"/>
                      <w:sz w:val="24"/>
                    </w:rPr>
                    <w:t>3）一般参数</w:t>
                  </w:r>
                  <w:r>
                    <w:br/>
                  </w:r>
                  <w:r>
                    <w:rPr>
                      <w:rFonts w:ascii="仿宋_GB2312" w:hAnsi="仿宋_GB2312" w:cs="仿宋_GB2312" w:eastAsia="仿宋_GB2312"/>
                      <w:sz w:val="24"/>
                    </w:rPr>
                    <w:t>①升温速率：&gt;0.6K/min</w:t>
                  </w:r>
                </w:p>
                <w:p>
                  <w:pPr>
                    <w:pStyle w:val="null3"/>
                    <w:jc w:val="both"/>
                  </w:pPr>
                  <w:r>
                    <w:rPr>
                      <w:rFonts w:ascii="仿宋_GB2312" w:hAnsi="仿宋_GB2312" w:cs="仿宋_GB2312" w:eastAsia="仿宋_GB2312"/>
                      <w:sz w:val="24"/>
                    </w:rPr>
                    <w:t>②环境适应性：高温≥55℃，低温≤-20℃</w:t>
                  </w:r>
                </w:p>
                <w:p>
                  <w:pPr>
                    <w:pStyle w:val="null3"/>
                    <w:jc w:val="both"/>
                  </w:pPr>
                  <w:r>
                    <w:rPr>
                      <w:rFonts w:ascii="仿宋_GB2312" w:hAnsi="仿宋_GB2312" w:cs="仿宋_GB2312" w:eastAsia="仿宋_GB2312"/>
                      <w:sz w:val="24"/>
                    </w:rPr>
                    <w:t>③绝缘电阻：≥5MΩ</w:t>
                  </w:r>
                </w:p>
                <w:p>
                  <w:pPr>
                    <w:pStyle w:val="null3"/>
                    <w:jc w:val="both"/>
                  </w:pPr>
                  <w:r>
                    <w:rPr>
                      <w:rFonts w:ascii="仿宋_GB2312" w:hAnsi="仿宋_GB2312" w:cs="仿宋_GB2312" w:eastAsia="仿宋_GB2312"/>
                      <w:sz w:val="24"/>
                    </w:rPr>
                    <w:t>④表面粗糙度：Ra≤0.40μm</w:t>
                  </w:r>
                </w:p>
                <w:p>
                  <w:pPr>
                    <w:pStyle w:val="null3"/>
                    <w:jc w:val="both"/>
                  </w:pPr>
                  <w:r>
                    <w:rPr>
                      <w:rFonts w:ascii="仿宋_GB2312" w:hAnsi="仿宋_GB2312" w:cs="仿宋_GB2312" w:eastAsia="仿宋_GB2312"/>
                      <w:sz w:val="24"/>
                    </w:rPr>
                    <w:t>⑤噪声控制：≤80dB(A)</w:t>
                  </w:r>
                </w:p>
              </w:tc>
            </w:tr>
            <w:tr>
              <w:tc>
                <w:tcPr>
                  <w:tcW w:type="dxa" w:w="4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3</w:t>
                  </w:r>
                </w:p>
              </w:tc>
              <w:tc>
                <w:tcPr>
                  <w:tcW w:type="dxa" w:w="1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酒精发酵设备（</w:t>
                  </w:r>
                  <w:r>
                    <w:rPr>
                      <w:rFonts w:ascii="仿宋_GB2312" w:hAnsi="仿宋_GB2312" w:cs="仿宋_GB2312" w:eastAsia="仿宋_GB2312"/>
                      <w:sz w:val="24"/>
                      <w:b/>
                    </w:rPr>
                    <w:t>4台）</w:t>
                  </w:r>
                </w:p>
              </w:tc>
              <w:tc>
                <w:tcPr>
                  <w:tcW w:type="dxa" w:w="22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1）材质采用不低于06Cr19Ni10（SUS304）不锈钢(罐体/封头/焊丝)</w:t>
                  </w:r>
                  <w:r>
                    <w:br/>
                  </w:r>
                  <w:r>
                    <w:rPr>
                      <w:rFonts w:ascii="仿宋_GB2312" w:hAnsi="仿宋_GB2312" w:cs="仿宋_GB2312" w:eastAsia="仿宋_GB2312"/>
                      <w:sz w:val="24"/>
                    </w:rPr>
                    <w:t>2）核心参数</w:t>
                  </w:r>
                  <w:r>
                    <w:br/>
                  </w:r>
                  <w:r>
                    <w:rPr>
                      <w:rFonts w:ascii="仿宋_GB2312" w:hAnsi="仿宋_GB2312" w:cs="仿宋_GB2312" w:eastAsia="仿宋_GB2312"/>
                      <w:sz w:val="24"/>
                    </w:rPr>
                    <w:t>①单台容积：2.5m³（±0.15m³）</w:t>
                  </w:r>
                </w:p>
                <w:p>
                  <w:pPr>
                    <w:pStyle w:val="null3"/>
                    <w:jc w:val="both"/>
                  </w:pPr>
                  <w:r>
                    <w:rPr>
                      <w:rFonts w:ascii="仿宋_GB2312" w:hAnsi="仿宋_GB2312" w:cs="仿宋_GB2312" w:eastAsia="仿宋_GB2312"/>
                      <w:sz w:val="24"/>
                    </w:rPr>
                    <w:t>②冷却方式：盘管</w:t>
                  </w:r>
                </w:p>
                <w:p>
                  <w:pPr>
                    <w:pStyle w:val="null3"/>
                    <w:jc w:val="both"/>
                  </w:pPr>
                  <w:r>
                    <w:rPr>
                      <w:rFonts w:ascii="仿宋_GB2312" w:hAnsi="仿宋_GB2312" w:cs="仿宋_GB2312" w:eastAsia="仿宋_GB2312"/>
                      <w:sz w:val="24"/>
                    </w:rPr>
                    <w:t>③噪声：≤65dB(A)</w:t>
                  </w:r>
                </w:p>
                <w:p>
                  <w:pPr>
                    <w:pStyle w:val="null3"/>
                    <w:jc w:val="both"/>
                  </w:pPr>
                  <w:r>
                    <w:rPr>
                      <w:rFonts w:ascii="仿宋_GB2312" w:hAnsi="仿宋_GB2312" w:cs="仿宋_GB2312" w:eastAsia="仿宋_GB2312"/>
                      <w:sz w:val="24"/>
                    </w:rPr>
                    <w:t>④工作温度：0-100℃</w:t>
                  </w:r>
                  <w:r>
                    <w:br/>
                  </w:r>
                  <w:r>
                    <w:rPr>
                      <w:rFonts w:ascii="仿宋_GB2312" w:hAnsi="仿宋_GB2312" w:cs="仿宋_GB2312" w:eastAsia="仿宋_GB2312"/>
                      <w:sz w:val="24"/>
                    </w:rPr>
                    <w:t>3）一般参数</w:t>
                  </w:r>
                  <w:r>
                    <w:br/>
                  </w:r>
                  <w:r>
                    <w:rPr>
                      <w:rFonts w:ascii="仿宋_GB2312" w:hAnsi="仿宋_GB2312" w:cs="仿宋_GB2312" w:eastAsia="仿宋_GB2312"/>
                      <w:sz w:val="24"/>
                    </w:rPr>
                    <w:t>⑤绝缘电阻：≥5MΩ</w:t>
                  </w:r>
                </w:p>
                <w:p>
                  <w:pPr>
                    <w:pStyle w:val="null3"/>
                    <w:jc w:val="both"/>
                  </w:pPr>
                  <w:r>
                    <w:rPr>
                      <w:rFonts w:ascii="仿宋_GB2312" w:hAnsi="仿宋_GB2312" w:cs="仿宋_GB2312" w:eastAsia="仿宋_GB2312"/>
                      <w:sz w:val="24"/>
                    </w:rPr>
                    <w:t>⑥筒体液压：设计压力+0.1MPa无渗漏</w:t>
                  </w:r>
                </w:p>
                <w:p>
                  <w:pPr>
                    <w:pStyle w:val="null3"/>
                    <w:jc w:val="both"/>
                  </w:pPr>
                  <w:r>
                    <w:rPr>
                      <w:rFonts w:ascii="仿宋_GB2312" w:hAnsi="仿宋_GB2312" w:cs="仿宋_GB2312" w:eastAsia="仿宋_GB2312"/>
                      <w:sz w:val="24"/>
                    </w:rPr>
                    <w:t>⑦冷却面积：≥2.2m²</w:t>
                  </w:r>
                </w:p>
                <w:p>
                  <w:pPr>
                    <w:pStyle w:val="null3"/>
                    <w:jc w:val="both"/>
                  </w:pPr>
                  <w:r>
                    <w:rPr>
                      <w:rFonts w:ascii="仿宋_GB2312" w:hAnsi="仿宋_GB2312" w:cs="仿宋_GB2312" w:eastAsia="仿宋_GB2312"/>
                      <w:sz w:val="24"/>
                    </w:rPr>
                    <w:t>⑧工作温度：0-100℃</w:t>
                  </w:r>
                </w:p>
                <w:p>
                  <w:pPr>
                    <w:pStyle w:val="null3"/>
                    <w:jc w:val="both"/>
                  </w:pPr>
                  <w:r>
                    <w:rPr>
                      <w:rFonts w:ascii="仿宋_GB2312" w:hAnsi="仿宋_GB2312" w:cs="仿宋_GB2312" w:eastAsia="仿宋_GB2312"/>
                      <w:sz w:val="24"/>
                    </w:rPr>
                    <w:t>⑨</w:t>
                  </w:r>
                  <w:r>
                    <w:rPr>
                      <w:rFonts w:ascii="仿宋_GB2312" w:hAnsi="仿宋_GB2312" w:cs="仿宋_GB2312" w:eastAsia="仿宋_GB2312"/>
                      <w:sz w:val="24"/>
                    </w:rPr>
                    <w:t>控制方式：</w:t>
                  </w:r>
                  <w:r>
                    <w:rPr>
                      <w:rFonts w:ascii="仿宋_GB2312" w:hAnsi="仿宋_GB2312" w:cs="仿宋_GB2312" w:eastAsia="仿宋_GB2312"/>
                      <w:sz w:val="24"/>
                    </w:rPr>
                    <w:t>PLC</w:t>
                  </w:r>
                </w:p>
              </w:tc>
            </w:tr>
            <w:tr>
              <w:tc>
                <w:tcPr>
                  <w:tcW w:type="dxa" w:w="4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4</w:t>
                  </w:r>
                </w:p>
              </w:tc>
              <w:tc>
                <w:tcPr>
                  <w:tcW w:type="dxa" w:w="1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固态酿醋设备（</w:t>
                  </w:r>
                  <w:r>
                    <w:rPr>
                      <w:rFonts w:ascii="仿宋_GB2312" w:hAnsi="仿宋_GB2312" w:cs="仿宋_GB2312" w:eastAsia="仿宋_GB2312"/>
                      <w:sz w:val="24"/>
                      <w:b/>
                    </w:rPr>
                    <w:t>1台）</w:t>
                  </w:r>
                </w:p>
              </w:tc>
              <w:tc>
                <w:tcPr>
                  <w:tcW w:type="dxa" w:w="22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1）材质采用不低于06Cr19Ni10（SUS304）不锈钢（罐体）</w:t>
                  </w:r>
                  <w:r>
                    <w:br/>
                  </w:r>
                  <w:r>
                    <w:rPr>
                      <w:rFonts w:ascii="仿宋_GB2312" w:hAnsi="仿宋_GB2312" w:cs="仿宋_GB2312" w:eastAsia="仿宋_GB2312"/>
                      <w:sz w:val="24"/>
                    </w:rPr>
                    <w:t>2）核心参数</w:t>
                  </w:r>
                  <w:r>
                    <w:br/>
                  </w:r>
                  <w:r>
                    <w:rPr>
                      <w:rFonts w:ascii="仿宋_GB2312" w:hAnsi="仿宋_GB2312" w:cs="仿宋_GB2312" w:eastAsia="仿宋_GB2312"/>
                      <w:sz w:val="24"/>
                    </w:rPr>
                    <w:t>①日产量：1000kg（±25kg）</w:t>
                  </w:r>
                </w:p>
                <w:p>
                  <w:pPr>
                    <w:pStyle w:val="null3"/>
                    <w:jc w:val="both"/>
                  </w:pPr>
                  <w:r>
                    <w:rPr>
                      <w:rFonts w:ascii="仿宋_GB2312" w:hAnsi="仿宋_GB2312" w:cs="仿宋_GB2312" w:eastAsia="仿宋_GB2312"/>
                      <w:sz w:val="24"/>
                    </w:rPr>
                    <w:t>②搅拌功率：≥15kW</w:t>
                  </w:r>
                </w:p>
                <w:p>
                  <w:pPr>
                    <w:pStyle w:val="null3"/>
                    <w:jc w:val="both"/>
                  </w:pPr>
                  <w:r>
                    <w:rPr>
                      <w:rFonts w:ascii="仿宋_GB2312" w:hAnsi="仿宋_GB2312" w:cs="仿宋_GB2312" w:eastAsia="仿宋_GB2312"/>
                      <w:sz w:val="24"/>
                    </w:rPr>
                    <w:t>③</w:t>
                  </w:r>
                  <w:r>
                    <w:rPr>
                      <w:rFonts w:ascii="仿宋_GB2312" w:hAnsi="仿宋_GB2312" w:cs="仿宋_GB2312" w:eastAsia="仿宋_GB2312"/>
                      <w:sz w:val="24"/>
                    </w:rPr>
                    <w:t>循环功率：</w:t>
                  </w:r>
                  <w:r>
                    <w:rPr>
                      <w:rFonts w:ascii="仿宋_GB2312" w:hAnsi="仿宋_GB2312" w:cs="仿宋_GB2312" w:eastAsia="仿宋_GB2312"/>
                      <w:sz w:val="24"/>
                    </w:rPr>
                    <w:t>≥</w:t>
                  </w:r>
                  <w:r>
                    <w:rPr>
                      <w:rFonts w:ascii="仿宋_GB2312" w:hAnsi="仿宋_GB2312" w:cs="仿宋_GB2312" w:eastAsia="仿宋_GB2312"/>
                      <w:sz w:val="24"/>
                    </w:rPr>
                    <w:t>0.75</w:t>
                  </w:r>
                  <w:r>
                    <w:rPr>
                      <w:rFonts w:ascii="仿宋_GB2312" w:hAnsi="仿宋_GB2312" w:cs="仿宋_GB2312" w:eastAsia="仿宋_GB2312"/>
                      <w:sz w:val="24"/>
                    </w:rPr>
                    <w:t>kW</w:t>
                  </w:r>
                </w:p>
                <w:p>
                  <w:pPr>
                    <w:pStyle w:val="null3"/>
                    <w:jc w:val="both"/>
                  </w:pPr>
                  <w:r>
                    <w:rPr>
                      <w:rFonts w:ascii="仿宋_GB2312" w:hAnsi="仿宋_GB2312" w:cs="仿宋_GB2312" w:eastAsia="仿宋_GB2312"/>
                      <w:sz w:val="24"/>
                    </w:rPr>
                    <w:t>④尺寸：Φ2</w:t>
                  </w:r>
                  <w:r>
                    <w:rPr>
                      <w:rFonts w:ascii="仿宋_GB2312" w:hAnsi="仿宋_GB2312" w:cs="仿宋_GB2312" w:eastAsia="仿宋_GB2312"/>
                      <w:sz w:val="24"/>
                    </w:rPr>
                    <w:t>3</w:t>
                  </w:r>
                  <w:r>
                    <w:rPr>
                      <w:rFonts w:ascii="仿宋_GB2312" w:hAnsi="仿宋_GB2312" w:cs="仿宋_GB2312" w:eastAsia="仿宋_GB2312"/>
                      <w:sz w:val="24"/>
                    </w:rPr>
                    <w:t>00（±5）×H</w:t>
                  </w:r>
                  <w:r>
                    <w:rPr>
                      <w:rFonts w:ascii="仿宋_GB2312" w:hAnsi="仿宋_GB2312" w:cs="仿宋_GB2312" w:eastAsia="仿宋_GB2312"/>
                      <w:sz w:val="24"/>
                    </w:rPr>
                    <w:t>69</w:t>
                  </w:r>
                  <w:r>
                    <w:rPr>
                      <w:rFonts w:ascii="仿宋_GB2312" w:hAnsi="仿宋_GB2312" w:cs="仿宋_GB2312" w:eastAsia="仿宋_GB2312"/>
                      <w:sz w:val="24"/>
                    </w:rPr>
                    <w:t>00（±5）mm</w:t>
                  </w:r>
                </w:p>
                <w:p>
                  <w:pPr>
                    <w:pStyle w:val="null3"/>
                    <w:jc w:val="both"/>
                  </w:pPr>
                  <w:r>
                    <w:rPr>
                      <w:rFonts w:ascii="仿宋_GB2312" w:hAnsi="仿宋_GB2312" w:cs="仿宋_GB2312" w:eastAsia="仿宋_GB2312"/>
                      <w:sz w:val="24"/>
                    </w:rPr>
                    <w:t>⑤</w:t>
                  </w:r>
                  <w:r>
                    <w:rPr>
                      <w:rFonts w:ascii="仿宋_GB2312" w:hAnsi="仿宋_GB2312" w:cs="仿宋_GB2312" w:eastAsia="仿宋_GB2312"/>
                      <w:sz w:val="24"/>
                    </w:rPr>
                    <w:t>控制</w:t>
                  </w:r>
                  <w:r>
                    <w:rPr>
                      <w:rFonts w:ascii="仿宋_GB2312" w:hAnsi="仿宋_GB2312" w:cs="仿宋_GB2312" w:eastAsia="仿宋_GB2312"/>
                      <w:sz w:val="24"/>
                    </w:rPr>
                    <w:t>方式</w:t>
                  </w:r>
                  <w:r>
                    <w:rPr>
                      <w:rFonts w:ascii="仿宋_GB2312" w:hAnsi="仿宋_GB2312" w:cs="仿宋_GB2312" w:eastAsia="仿宋_GB2312"/>
                      <w:sz w:val="24"/>
                    </w:rPr>
                    <w:t>：</w:t>
                  </w:r>
                  <w:r>
                    <w:rPr>
                      <w:rFonts w:ascii="仿宋_GB2312" w:hAnsi="仿宋_GB2312" w:cs="仿宋_GB2312" w:eastAsia="仿宋_GB2312"/>
                      <w:sz w:val="24"/>
                    </w:rPr>
                    <w:t>PLC</w:t>
                  </w:r>
                  <w:r>
                    <w:br/>
                  </w:r>
                  <w:r>
                    <w:rPr>
                      <w:rFonts w:ascii="仿宋_GB2312" w:hAnsi="仿宋_GB2312" w:cs="仿宋_GB2312" w:eastAsia="仿宋_GB2312"/>
                      <w:sz w:val="24"/>
                    </w:rPr>
                    <w:t>3）一般参数</w:t>
                  </w:r>
                  <w:r>
                    <w:br/>
                  </w:r>
                  <w:r>
                    <w:rPr>
                      <w:rFonts w:ascii="仿宋_GB2312" w:hAnsi="仿宋_GB2312" w:cs="仿宋_GB2312" w:eastAsia="仿宋_GB2312"/>
                      <w:sz w:val="24"/>
                    </w:rPr>
                    <w:t>①电气安全：符合GB5226.1</w:t>
                  </w:r>
                </w:p>
                <w:p>
                  <w:pPr>
                    <w:pStyle w:val="null3"/>
                    <w:jc w:val="both"/>
                  </w:pPr>
                  <w:r>
                    <w:rPr>
                      <w:rFonts w:ascii="仿宋_GB2312" w:hAnsi="仿宋_GB2312" w:cs="仿宋_GB2312" w:eastAsia="仿宋_GB2312"/>
                      <w:sz w:val="24"/>
                    </w:rPr>
                    <w:t>②无故障工作时间≥1000h</w:t>
                  </w:r>
                </w:p>
              </w:tc>
            </w:tr>
            <w:tr>
              <w:tc>
                <w:tcPr>
                  <w:tcW w:type="dxa" w:w="4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5</w:t>
                  </w:r>
                </w:p>
              </w:tc>
              <w:tc>
                <w:tcPr>
                  <w:tcW w:type="dxa" w:w="1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液态酿醋设备（</w:t>
                  </w:r>
                  <w:r>
                    <w:rPr>
                      <w:rFonts w:ascii="仿宋_GB2312" w:hAnsi="仿宋_GB2312" w:cs="仿宋_GB2312" w:eastAsia="仿宋_GB2312"/>
                      <w:sz w:val="24"/>
                      <w:b/>
                    </w:rPr>
                    <w:t>1台）</w:t>
                  </w:r>
                </w:p>
              </w:tc>
              <w:tc>
                <w:tcPr>
                  <w:tcW w:type="dxa" w:w="22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1）材质采用不低于06Cr19Ni10（SUS304）</w:t>
                  </w:r>
                </w:p>
                <w:p>
                  <w:pPr>
                    <w:pStyle w:val="null3"/>
                    <w:jc w:val="both"/>
                  </w:pPr>
                  <w:r>
                    <w:rPr>
                      <w:rFonts w:ascii="仿宋_GB2312" w:hAnsi="仿宋_GB2312" w:cs="仿宋_GB2312" w:eastAsia="仿宋_GB2312"/>
                      <w:sz w:val="24"/>
                    </w:rPr>
                    <w:t>不锈钢（罐体），材质采用不低于</w:t>
                  </w:r>
                  <w:r>
                    <w:rPr>
                      <w:rFonts w:ascii="仿宋_GB2312" w:hAnsi="仿宋_GB2312" w:cs="仿宋_GB2312" w:eastAsia="仿宋_GB2312"/>
                      <w:sz w:val="24"/>
                    </w:rPr>
                    <w:t>06Cr19Ni10（SUS304）不锈钢（盘管）</w:t>
                  </w:r>
                  <w:r>
                    <w:br/>
                  </w:r>
                  <w:r>
                    <w:rPr>
                      <w:rFonts w:ascii="仿宋_GB2312" w:hAnsi="仿宋_GB2312" w:cs="仿宋_GB2312" w:eastAsia="仿宋_GB2312"/>
                      <w:sz w:val="24"/>
                    </w:rPr>
                    <w:t>2）核心参数</w:t>
                  </w:r>
                  <w:r>
                    <w:br/>
                  </w:r>
                  <w:r>
                    <w:rPr>
                      <w:rFonts w:ascii="仿宋_GB2312" w:hAnsi="仿宋_GB2312" w:cs="仿宋_GB2312" w:eastAsia="仿宋_GB2312"/>
                      <w:sz w:val="24"/>
                    </w:rPr>
                    <w:t>①日产量：1000kg（±25kg）</w:t>
                  </w:r>
                </w:p>
                <w:p>
                  <w:pPr>
                    <w:pStyle w:val="null3"/>
                    <w:jc w:val="both"/>
                  </w:pPr>
                  <w:r>
                    <w:rPr>
                      <w:rFonts w:ascii="仿宋_GB2312" w:hAnsi="仿宋_GB2312" w:cs="仿宋_GB2312" w:eastAsia="仿宋_GB2312"/>
                      <w:sz w:val="24"/>
                    </w:rPr>
                    <w:t>②搅拌功率：≥2.2kW</w:t>
                  </w:r>
                </w:p>
                <w:p>
                  <w:pPr>
                    <w:pStyle w:val="null3"/>
                    <w:jc w:val="both"/>
                  </w:pPr>
                  <w:r>
                    <w:rPr>
                      <w:rFonts w:ascii="仿宋_GB2312" w:hAnsi="仿宋_GB2312" w:cs="仿宋_GB2312" w:eastAsia="仿宋_GB2312"/>
                      <w:sz w:val="24"/>
                    </w:rPr>
                    <w:t>③</w:t>
                  </w:r>
                  <w:r>
                    <w:rPr>
                      <w:rFonts w:ascii="仿宋_GB2312" w:hAnsi="仿宋_GB2312" w:cs="仿宋_GB2312" w:eastAsia="仿宋_GB2312"/>
                      <w:sz w:val="24"/>
                    </w:rPr>
                    <w:t>消泡功率：</w:t>
                  </w:r>
                  <w:r>
                    <w:rPr>
                      <w:rFonts w:ascii="仿宋_GB2312" w:hAnsi="仿宋_GB2312" w:cs="仿宋_GB2312" w:eastAsia="仿宋_GB2312"/>
                      <w:sz w:val="24"/>
                    </w:rPr>
                    <w:t>≥</w:t>
                  </w:r>
                  <w:r>
                    <w:rPr>
                      <w:rFonts w:ascii="仿宋_GB2312" w:hAnsi="仿宋_GB2312" w:cs="仿宋_GB2312" w:eastAsia="仿宋_GB2312"/>
                      <w:sz w:val="24"/>
                    </w:rPr>
                    <w:t>0.75</w:t>
                  </w:r>
                  <w:r>
                    <w:rPr>
                      <w:rFonts w:ascii="仿宋_GB2312" w:hAnsi="仿宋_GB2312" w:cs="仿宋_GB2312" w:eastAsia="仿宋_GB2312"/>
                      <w:sz w:val="24"/>
                    </w:rPr>
                    <w:t>kW</w:t>
                  </w:r>
                </w:p>
                <w:p>
                  <w:pPr>
                    <w:pStyle w:val="null3"/>
                    <w:jc w:val="both"/>
                  </w:pPr>
                  <w:r>
                    <w:rPr>
                      <w:rFonts w:ascii="仿宋_GB2312" w:hAnsi="仿宋_GB2312" w:cs="仿宋_GB2312" w:eastAsia="仿宋_GB2312"/>
                      <w:sz w:val="24"/>
                    </w:rPr>
                    <w:t>④尺寸：Φ1500（±5）×H3500（±5）mm</w:t>
                  </w:r>
                </w:p>
                <w:p>
                  <w:pPr>
                    <w:pStyle w:val="null3"/>
                    <w:jc w:val="both"/>
                  </w:pPr>
                  <w:r>
                    <w:rPr>
                      <w:rFonts w:ascii="仿宋_GB2312" w:hAnsi="仿宋_GB2312" w:cs="仿宋_GB2312" w:eastAsia="仿宋_GB2312"/>
                      <w:sz w:val="24"/>
                    </w:rPr>
                    <w:t>⑤</w:t>
                  </w:r>
                  <w:r>
                    <w:rPr>
                      <w:rFonts w:ascii="仿宋_GB2312" w:hAnsi="仿宋_GB2312" w:cs="仿宋_GB2312" w:eastAsia="仿宋_GB2312"/>
                      <w:sz w:val="24"/>
                    </w:rPr>
                    <w:t>控制</w:t>
                  </w:r>
                  <w:r>
                    <w:rPr>
                      <w:rFonts w:ascii="仿宋_GB2312" w:hAnsi="仿宋_GB2312" w:cs="仿宋_GB2312" w:eastAsia="仿宋_GB2312"/>
                      <w:sz w:val="24"/>
                    </w:rPr>
                    <w:t>方式</w:t>
                  </w:r>
                  <w:r>
                    <w:rPr>
                      <w:rFonts w:ascii="仿宋_GB2312" w:hAnsi="仿宋_GB2312" w:cs="仿宋_GB2312" w:eastAsia="仿宋_GB2312"/>
                      <w:sz w:val="24"/>
                    </w:rPr>
                    <w:t>：</w:t>
                  </w:r>
                  <w:r>
                    <w:rPr>
                      <w:rFonts w:ascii="仿宋_GB2312" w:hAnsi="仿宋_GB2312" w:cs="仿宋_GB2312" w:eastAsia="仿宋_GB2312"/>
                      <w:sz w:val="24"/>
                    </w:rPr>
                    <w:t>PLC</w:t>
                  </w:r>
                </w:p>
                <w:p>
                  <w:pPr>
                    <w:pStyle w:val="null3"/>
                    <w:jc w:val="both"/>
                  </w:pPr>
                  <w:r>
                    <w:rPr>
                      <w:rFonts w:ascii="仿宋_GB2312" w:hAnsi="仿宋_GB2312" w:cs="仿宋_GB2312" w:eastAsia="仿宋_GB2312"/>
                      <w:sz w:val="24"/>
                    </w:rPr>
                    <w:t>3）一般参数</w:t>
                  </w:r>
                  <w:r>
                    <w:br/>
                  </w:r>
                  <w:r>
                    <w:rPr>
                      <w:rFonts w:ascii="仿宋_GB2312" w:hAnsi="仿宋_GB2312" w:cs="仿宋_GB2312" w:eastAsia="仿宋_GB2312"/>
                      <w:sz w:val="24"/>
                    </w:rPr>
                    <w:t>①电气安全：符合GB5226.1</w:t>
                  </w:r>
                </w:p>
                <w:p>
                  <w:pPr>
                    <w:pStyle w:val="null3"/>
                    <w:jc w:val="both"/>
                  </w:pPr>
                  <w:r>
                    <w:rPr>
                      <w:rFonts w:ascii="仿宋_GB2312" w:hAnsi="仿宋_GB2312" w:cs="仿宋_GB2312" w:eastAsia="仿宋_GB2312"/>
                      <w:sz w:val="24"/>
                    </w:rPr>
                    <w:t>②无故障工作时间≥1000h</w:t>
                  </w:r>
                </w:p>
              </w:tc>
            </w:tr>
          </w:tbl>
          <w:p>
            <w:pPr>
              <w:pStyle w:val="null3"/>
              <w:ind w:firstLine="482"/>
              <w:jc w:val="left"/>
            </w:pPr>
            <w:r>
              <w:rPr>
                <w:rFonts w:ascii="仿宋_GB2312" w:hAnsi="仿宋_GB2312" w:cs="仿宋_GB2312" w:eastAsia="仿宋_GB2312"/>
                <w:sz w:val="24"/>
                <w:b/>
              </w:rPr>
              <w:t>二、技术要求：</w:t>
            </w:r>
          </w:p>
          <w:p>
            <w:pPr>
              <w:pStyle w:val="null3"/>
              <w:ind w:firstLine="480"/>
              <w:jc w:val="left"/>
            </w:pPr>
            <w:r>
              <w:rPr>
                <w:rFonts w:ascii="仿宋_GB2312" w:hAnsi="仿宋_GB2312" w:cs="仿宋_GB2312" w:eastAsia="仿宋_GB2312"/>
                <w:sz w:val="24"/>
              </w:rPr>
              <w:t>1、固态发酵周期不超过20天，固态发酵酸度不小于6%，固态淀粉转化率不低于90%。</w:t>
            </w:r>
          </w:p>
          <w:p>
            <w:pPr>
              <w:pStyle w:val="null3"/>
              <w:ind w:firstLine="480"/>
              <w:jc w:val="left"/>
            </w:pPr>
            <w:r>
              <w:rPr>
                <w:rFonts w:ascii="仿宋_GB2312" w:hAnsi="仿宋_GB2312" w:cs="仿宋_GB2312" w:eastAsia="仿宋_GB2312"/>
                <w:sz w:val="24"/>
              </w:rPr>
              <w:t>2、液态发酵周期不超过30小时，液体发酵酸度不小于9%，液态酒精乙酸转化率不低于90%。</w:t>
            </w:r>
          </w:p>
          <w:p>
            <w:pPr>
              <w:pStyle w:val="null3"/>
              <w:jc w:val="left"/>
            </w:pPr>
            <w:r>
              <w:rPr>
                <w:rFonts w:ascii="仿宋_GB2312" w:hAnsi="仿宋_GB2312" w:cs="仿宋_GB2312" w:eastAsia="仿宋_GB2312"/>
                <w:sz w:val="24"/>
                <w:b/>
              </w:rPr>
              <w:t>注：</w:t>
            </w:r>
            <w:r>
              <w:rPr>
                <w:rFonts w:ascii="仿宋_GB2312" w:hAnsi="仿宋_GB2312" w:cs="仿宋_GB2312" w:eastAsia="仿宋_GB2312"/>
                <w:sz w:val="24"/>
                <w:b/>
              </w:rPr>
              <w:t>以上技术参数及</w:t>
            </w:r>
            <w:r>
              <w:rPr>
                <w:rFonts w:ascii="仿宋_GB2312" w:hAnsi="仿宋_GB2312" w:cs="仿宋_GB2312" w:eastAsia="仿宋_GB2312"/>
                <w:sz w:val="24"/>
                <w:b/>
              </w:rPr>
              <w:t>技术要求</w:t>
            </w:r>
            <w:r>
              <w:rPr>
                <w:rFonts w:ascii="仿宋_GB2312" w:hAnsi="仿宋_GB2312" w:cs="仿宋_GB2312" w:eastAsia="仿宋_GB2312"/>
                <w:sz w:val="24"/>
                <w:b/>
              </w:rPr>
              <w:t>均</w:t>
            </w:r>
            <w:r>
              <w:rPr>
                <w:rFonts w:ascii="仿宋_GB2312" w:hAnsi="仿宋_GB2312" w:cs="仿宋_GB2312" w:eastAsia="仿宋_GB2312"/>
                <w:sz w:val="24"/>
                <w:b/>
              </w:rPr>
              <w:t>为实质性要求，不得负偏离</w:t>
            </w:r>
            <w:r>
              <w:rPr>
                <w:rFonts w:ascii="仿宋_GB2312" w:hAnsi="仿宋_GB2312" w:cs="仿宋_GB2312" w:eastAsia="仿宋_GB2312"/>
                <w:sz w:val="24"/>
                <w:b/>
              </w:rPr>
              <w:t>，</w:t>
            </w:r>
            <w:r>
              <w:rPr>
                <w:rFonts w:ascii="仿宋_GB2312" w:hAnsi="仿宋_GB2312" w:cs="仿宋_GB2312" w:eastAsia="仿宋_GB2312"/>
                <w:sz w:val="24"/>
                <w:b/>
              </w:rPr>
              <w:t>否则按废标处理</w:t>
            </w:r>
            <w:r>
              <w:rPr>
                <w:rFonts w:ascii="仿宋_GB2312" w:hAnsi="仿宋_GB2312" w:cs="仿宋_GB2312" w:eastAsia="仿宋_GB2312"/>
                <w:sz w:val="24"/>
                <w:b/>
              </w:rPr>
              <w:t>（以供应商提供的官网截图</w:t>
            </w:r>
            <w:r>
              <w:rPr>
                <w:rFonts w:ascii="仿宋_GB2312" w:hAnsi="仿宋_GB2312" w:cs="仿宋_GB2312" w:eastAsia="仿宋_GB2312"/>
                <w:sz w:val="24"/>
                <w:b/>
              </w:rPr>
              <w:t>/检测报告/检验报告为准）。</w:t>
            </w:r>
          </w:p>
          <w:p>
            <w:pPr>
              <w:pStyle w:val="null3"/>
              <w:jc w:val="both"/>
            </w:pPr>
            <w:r>
              <w:rPr>
                <w:rFonts w:ascii="仿宋_GB2312" w:hAnsi="仿宋_GB2312" w:cs="仿宋_GB2312" w:eastAsia="仿宋_GB2312"/>
                <w:sz w:val="24"/>
                <w:b/>
              </w:rPr>
              <w:t>三、商务要求</w:t>
            </w:r>
          </w:p>
          <w:p>
            <w:pPr>
              <w:pStyle w:val="null3"/>
              <w:jc w:val="both"/>
            </w:pPr>
            <w:r>
              <w:rPr>
                <w:rFonts w:ascii="仿宋_GB2312" w:hAnsi="仿宋_GB2312" w:cs="仿宋_GB2312" w:eastAsia="仿宋_GB2312"/>
                <w:sz w:val="24"/>
                <w:b/>
              </w:rPr>
              <w:t>（一）交货期及交货地点：</w:t>
            </w:r>
          </w:p>
          <w:p>
            <w:pPr>
              <w:pStyle w:val="null3"/>
              <w:ind w:firstLine="480"/>
              <w:jc w:val="both"/>
            </w:pPr>
            <w:r>
              <w:rPr>
                <w:rFonts w:ascii="仿宋_GB2312" w:hAnsi="仿宋_GB2312" w:cs="仿宋_GB2312" w:eastAsia="仿宋_GB2312"/>
                <w:sz w:val="24"/>
              </w:rPr>
              <w:t>1.交货期：合同签订后20日历天内交货并安装调试完成达到使用条件。</w:t>
            </w:r>
          </w:p>
          <w:p>
            <w:pPr>
              <w:pStyle w:val="null3"/>
              <w:ind w:firstLine="480"/>
              <w:jc w:val="both"/>
            </w:pPr>
            <w:r>
              <w:rPr>
                <w:rFonts w:ascii="仿宋_GB2312" w:hAnsi="仿宋_GB2312" w:cs="仿宋_GB2312" w:eastAsia="仿宋_GB2312"/>
                <w:sz w:val="24"/>
              </w:rPr>
              <w:t>2.交货地点：西安市长安区魏寨街道魏寨村</w:t>
            </w:r>
          </w:p>
          <w:p>
            <w:pPr>
              <w:pStyle w:val="null3"/>
              <w:jc w:val="both"/>
            </w:pPr>
            <w:r>
              <w:rPr>
                <w:rFonts w:ascii="仿宋_GB2312" w:hAnsi="仿宋_GB2312" w:cs="仿宋_GB2312" w:eastAsia="仿宋_GB2312"/>
                <w:sz w:val="24"/>
                <w:b/>
              </w:rPr>
              <w:t>（二）包装、运输、安装、调试及培训要求：</w:t>
            </w:r>
          </w:p>
          <w:p>
            <w:pPr>
              <w:pStyle w:val="null3"/>
              <w:jc w:val="both"/>
            </w:pPr>
            <w:r>
              <w:rPr>
                <w:rFonts w:ascii="仿宋_GB2312" w:hAnsi="仿宋_GB2312" w:cs="仿宋_GB2312" w:eastAsia="仿宋_GB2312"/>
                <w:sz w:val="24"/>
              </w:rPr>
              <w:t xml:space="preserve">  </w:t>
            </w:r>
            <w:r>
              <w:rPr>
                <w:rFonts w:ascii="仿宋_GB2312" w:hAnsi="仿宋_GB2312" w:cs="仿宋_GB2312" w:eastAsia="仿宋_GB2312"/>
                <w:sz w:val="24"/>
              </w:rPr>
              <w:t>1.包装：应采取防潮、防晒、防腐蚀、防震动及防止其它损坏的必要措施。成交人应</w:t>
            </w:r>
          </w:p>
          <w:p>
            <w:pPr>
              <w:pStyle w:val="null3"/>
              <w:jc w:val="both"/>
            </w:pPr>
            <w:r>
              <w:rPr>
                <w:rFonts w:ascii="仿宋_GB2312" w:hAnsi="仿宋_GB2312" w:cs="仿宋_GB2312" w:eastAsia="仿宋_GB2312"/>
                <w:sz w:val="24"/>
              </w:rPr>
              <w:t>承担由于其包装或防护措施不妥而引起的货物锈蚀、损坏和丢失等任何损失造成的责任或费用。</w:t>
            </w:r>
          </w:p>
          <w:p>
            <w:pPr>
              <w:pStyle w:val="null3"/>
              <w:jc w:val="both"/>
            </w:pPr>
            <w:r>
              <w:rPr>
                <w:rFonts w:ascii="仿宋_GB2312" w:hAnsi="仿宋_GB2312" w:cs="仿宋_GB2312" w:eastAsia="仿宋_GB2312"/>
                <w:sz w:val="24"/>
              </w:rPr>
              <w:t xml:space="preserve">  </w:t>
            </w:r>
            <w:r>
              <w:rPr>
                <w:rFonts w:ascii="仿宋_GB2312" w:hAnsi="仿宋_GB2312" w:cs="仿宋_GB2312" w:eastAsia="仿宋_GB2312"/>
                <w:sz w:val="24"/>
              </w:rPr>
              <w:t>2.运输：选择运输风险小、运费低、距离短的运输路线。运杂费一次包死在总价内，</w:t>
            </w:r>
          </w:p>
          <w:p>
            <w:pPr>
              <w:pStyle w:val="null3"/>
              <w:ind w:left="420"/>
              <w:jc w:val="both"/>
            </w:pPr>
            <w:r>
              <w:rPr>
                <w:rFonts w:ascii="仿宋_GB2312" w:hAnsi="仿宋_GB2312" w:cs="仿宋_GB2312" w:eastAsia="仿宋_GB2312"/>
                <w:sz w:val="24"/>
              </w:rPr>
              <w:t>包括生产厂到施工现场所需的装卸、运输（含保险费）、现场保管费、二次倒运费、吊装费等费用。</w:t>
            </w:r>
          </w:p>
          <w:p>
            <w:pPr>
              <w:pStyle w:val="null3"/>
              <w:ind w:left="420"/>
              <w:jc w:val="both"/>
            </w:pPr>
            <w:r>
              <w:rPr>
                <w:rFonts w:ascii="仿宋_GB2312" w:hAnsi="仿宋_GB2312" w:cs="仿宋_GB2312" w:eastAsia="仿宋_GB2312"/>
                <w:sz w:val="24"/>
              </w:rPr>
              <w:t>3.安装、调试及培训：成交人负责所有设备的安装、调试、培训工作，所有费用一次包死在总价内。每套设备安装调试完毕后，成交人必须安排技术人员对使用单位的设备管理人员进行操作应用及维护保养方面的技能培训，使其掌握基本技能。</w:t>
            </w:r>
          </w:p>
          <w:p>
            <w:pPr>
              <w:pStyle w:val="null3"/>
              <w:jc w:val="both"/>
            </w:pPr>
            <w:r>
              <w:rPr>
                <w:rFonts w:ascii="仿宋_GB2312" w:hAnsi="仿宋_GB2312" w:cs="仿宋_GB2312" w:eastAsia="仿宋_GB2312"/>
                <w:sz w:val="24"/>
                <w:b/>
              </w:rPr>
              <w:t>（三）付款方式：</w:t>
            </w:r>
          </w:p>
          <w:p>
            <w:pPr>
              <w:pStyle w:val="null3"/>
              <w:ind w:firstLine="480"/>
              <w:jc w:val="both"/>
            </w:pPr>
            <w:r>
              <w:rPr>
                <w:rFonts w:ascii="仿宋_GB2312" w:hAnsi="仿宋_GB2312" w:cs="仿宋_GB2312" w:eastAsia="仿宋_GB2312"/>
                <w:sz w:val="24"/>
              </w:rPr>
              <w:t>1.合同签订后，采购人向成交供应商支付合同总价款的30%作为预付款，待所有设备全部运输到采购人指定地点后支付合同总价款的65%，剩余合同总价款5%待所有设备安装调试完毕验收合格后一次性付清。</w:t>
            </w:r>
          </w:p>
          <w:p>
            <w:pPr>
              <w:pStyle w:val="null3"/>
              <w:ind w:firstLine="480"/>
              <w:jc w:val="both"/>
            </w:pPr>
            <w:r>
              <w:rPr>
                <w:rFonts w:ascii="仿宋_GB2312" w:hAnsi="仿宋_GB2312" w:cs="仿宋_GB2312" w:eastAsia="仿宋_GB2312"/>
                <w:sz w:val="24"/>
              </w:rPr>
              <w:t>2.结算方式：按照支付程序进行银行转账。</w:t>
            </w:r>
          </w:p>
          <w:p>
            <w:pPr>
              <w:pStyle w:val="null3"/>
              <w:ind w:firstLine="480"/>
              <w:jc w:val="both"/>
            </w:pPr>
            <w:r>
              <w:rPr>
                <w:rFonts w:ascii="仿宋_GB2312" w:hAnsi="仿宋_GB2312" w:cs="仿宋_GB2312" w:eastAsia="仿宋_GB2312"/>
                <w:sz w:val="24"/>
              </w:rPr>
              <w:t>3.结算单位：由甲方负责结算，乙方依据合同条款按甲方要求开具正式发票交采购人。</w:t>
            </w:r>
          </w:p>
          <w:p>
            <w:pPr>
              <w:pStyle w:val="null3"/>
              <w:jc w:val="both"/>
            </w:pPr>
            <w:r>
              <w:rPr>
                <w:rFonts w:ascii="仿宋_GB2312" w:hAnsi="仿宋_GB2312" w:cs="仿宋_GB2312" w:eastAsia="仿宋_GB2312"/>
                <w:sz w:val="24"/>
                <w:b/>
              </w:rPr>
              <w:t>（四）售后服务</w:t>
            </w:r>
          </w:p>
          <w:p>
            <w:pPr>
              <w:pStyle w:val="null3"/>
              <w:ind w:firstLine="480"/>
              <w:jc w:val="both"/>
            </w:pPr>
            <w:r>
              <w:rPr>
                <w:rFonts w:ascii="仿宋_GB2312" w:hAnsi="仿宋_GB2312" w:cs="仿宋_GB2312" w:eastAsia="仿宋_GB2312"/>
                <w:sz w:val="24"/>
              </w:rPr>
              <w:t>4.1日常维护：定期对设备和配件进行检查并排除故障。</w:t>
            </w:r>
          </w:p>
          <w:p>
            <w:pPr>
              <w:pStyle w:val="null3"/>
              <w:ind w:firstLine="480"/>
              <w:jc w:val="both"/>
            </w:pPr>
            <w:r>
              <w:rPr>
                <w:rFonts w:ascii="仿宋_GB2312" w:hAnsi="仿宋_GB2312" w:cs="仿宋_GB2312" w:eastAsia="仿宋_GB2312"/>
                <w:sz w:val="24"/>
              </w:rPr>
              <w:t>4.2质保期内，设备或配件出现问题后，成交单位24小时内必须到达现场解决问题，保证设备完好运行。</w:t>
            </w:r>
          </w:p>
          <w:p>
            <w:pPr>
              <w:pStyle w:val="null3"/>
              <w:ind w:firstLine="480"/>
              <w:jc w:val="both"/>
            </w:pPr>
            <w:r>
              <w:rPr>
                <w:rFonts w:ascii="仿宋_GB2312" w:hAnsi="仿宋_GB2312" w:cs="仿宋_GB2312" w:eastAsia="仿宋_GB2312"/>
                <w:sz w:val="24"/>
              </w:rPr>
              <w:t>4.3质保期内出现的质量问题由成交单位负责解决并承担所有费用；质保期后出现问题，成交单位以优惠的价格提供。</w:t>
            </w:r>
          </w:p>
          <w:p>
            <w:pPr>
              <w:pStyle w:val="null3"/>
              <w:ind w:firstLine="480"/>
              <w:jc w:val="both"/>
            </w:pPr>
            <w:r>
              <w:rPr>
                <w:rFonts w:ascii="仿宋_GB2312" w:hAnsi="仿宋_GB2312" w:cs="仿宋_GB2312" w:eastAsia="仿宋_GB2312"/>
                <w:sz w:val="24"/>
              </w:rPr>
              <w:t>4.4成交项目负责人有专业的项目负责团队人员，对本项目的所有情况和问题随时提供专业服务咨询。</w:t>
            </w:r>
          </w:p>
          <w:p>
            <w:pPr>
              <w:pStyle w:val="null3"/>
              <w:jc w:val="both"/>
            </w:pPr>
            <w:r>
              <w:rPr>
                <w:rFonts w:ascii="仿宋_GB2312" w:hAnsi="仿宋_GB2312" w:cs="仿宋_GB2312" w:eastAsia="仿宋_GB2312"/>
                <w:sz w:val="24"/>
                <w:b/>
              </w:rPr>
              <w:t>（五）质量保证</w:t>
            </w:r>
          </w:p>
          <w:p>
            <w:pPr>
              <w:pStyle w:val="null3"/>
              <w:ind w:firstLine="482"/>
              <w:jc w:val="both"/>
            </w:pPr>
            <w:r>
              <w:rPr>
                <w:rFonts w:ascii="仿宋_GB2312" w:hAnsi="仿宋_GB2312" w:cs="仿宋_GB2312" w:eastAsia="仿宋_GB2312"/>
                <w:sz w:val="24"/>
                <w:b/>
              </w:rPr>
              <w:t>1.所有产品的质保期为终验合格后不少于1年</w:t>
            </w:r>
            <w:r>
              <w:rPr>
                <w:rFonts w:ascii="仿宋_GB2312" w:hAnsi="仿宋_GB2312" w:cs="仿宋_GB2312" w:eastAsia="仿宋_GB2312"/>
                <w:sz w:val="24"/>
              </w:rPr>
              <w:t>，成交人承诺的质保时间超过竞争性谈判文件要求的，按其承诺时间质保。</w:t>
            </w:r>
          </w:p>
          <w:p>
            <w:pPr>
              <w:pStyle w:val="null3"/>
              <w:ind w:firstLine="480"/>
              <w:jc w:val="both"/>
            </w:pPr>
            <w:r>
              <w:rPr>
                <w:rFonts w:ascii="仿宋_GB2312" w:hAnsi="仿宋_GB2312" w:cs="仿宋_GB2312" w:eastAsia="仿宋_GB2312"/>
                <w:sz w:val="24"/>
              </w:rPr>
              <w:t>2.成交单位承诺的质保期起始时间为终验合格之日。</w:t>
            </w:r>
          </w:p>
          <w:p>
            <w:pPr>
              <w:pStyle w:val="null3"/>
              <w:ind w:firstLine="480"/>
              <w:jc w:val="both"/>
            </w:pPr>
            <w:r>
              <w:rPr>
                <w:rFonts w:ascii="仿宋_GB2312" w:hAnsi="仿宋_GB2312" w:cs="仿宋_GB2312" w:eastAsia="仿宋_GB2312"/>
                <w:sz w:val="24"/>
              </w:rPr>
              <w:t>3.所有产品质量必须符合国家有关规范和相关政策。所有产品及辅材必须是未使用过的新产品，质量优良、渠道正当，配置合理。</w:t>
            </w:r>
          </w:p>
          <w:p>
            <w:pPr>
              <w:pStyle w:val="null3"/>
              <w:ind w:firstLine="480"/>
              <w:jc w:val="both"/>
            </w:pPr>
            <w:r>
              <w:rPr>
                <w:rFonts w:ascii="仿宋_GB2312" w:hAnsi="仿宋_GB2312" w:cs="仿宋_GB2312" w:eastAsia="仿宋_GB2312"/>
                <w:sz w:val="24"/>
              </w:rPr>
              <w:t>4.质保期出现的质量问题由成交单位负责解决并承担所有费用。质保期后如需更换零部件，成交应以优惠价提供。</w:t>
            </w:r>
          </w:p>
          <w:p>
            <w:pPr>
              <w:pStyle w:val="null3"/>
              <w:jc w:val="both"/>
            </w:pPr>
            <w:r>
              <w:rPr>
                <w:rFonts w:ascii="仿宋_GB2312" w:hAnsi="仿宋_GB2312" w:cs="仿宋_GB2312" w:eastAsia="仿宋_GB2312"/>
                <w:sz w:val="24"/>
                <w:b/>
              </w:rPr>
              <w:t>（六）验收</w:t>
            </w:r>
            <w:r>
              <w:rPr>
                <w:rFonts w:ascii="仿宋_GB2312" w:hAnsi="仿宋_GB2312" w:cs="仿宋_GB2312" w:eastAsia="仿宋_GB2312"/>
                <w:sz w:val="24"/>
                <w:b/>
              </w:rPr>
              <w:t>:</w:t>
            </w:r>
          </w:p>
          <w:p>
            <w:pPr>
              <w:pStyle w:val="null3"/>
              <w:ind w:firstLine="480"/>
              <w:jc w:val="both"/>
            </w:pPr>
            <w:r>
              <w:rPr>
                <w:rFonts w:ascii="仿宋_GB2312" w:hAnsi="仿宋_GB2312" w:cs="仿宋_GB2312" w:eastAsia="仿宋_GB2312"/>
                <w:sz w:val="24"/>
              </w:rPr>
              <w:t>6.1所供产品的规格、数量符合竞争性谈判文件要求，供应商承诺及采购合同约定的要求。</w:t>
            </w:r>
          </w:p>
          <w:p>
            <w:pPr>
              <w:pStyle w:val="null3"/>
              <w:ind w:firstLine="480"/>
              <w:jc w:val="both"/>
            </w:pPr>
            <w:r>
              <w:rPr>
                <w:rFonts w:ascii="仿宋_GB2312" w:hAnsi="仿宋_GB2312" w:cs="仿宋_GB2312" w:eastAsia="仿宋_GB2312"/>
                <w:sz w:val="24"/>
              </w:rPr>
              <w:t>6.2所有产品均已运输至指定地点，并安装调试完毕。</w:t>
            </w:r>
          </w:p>
          <w:p>
            <w:pPr>
              <w:pStyle w:val="null3"/>
              <w:ind w:firstLine="480"/>
              <w:jc w:val="both"/>
            </w:pPr>
            <w:r>
              <w:rPr>
                <w:rFonts w:ascii="仿宋_GB2312" w:hAnsi="仿宋_GB2312" w:cs="仿宋_GB2312" w:eastAsia="仿宋_GB2312"/>
                <w:sz w:val="24"/>
              </w:rPr>
              <w:t>6.3供应商承诺及采购合同约定的附件、工具、技术资料等齐全；提供产品使用说明书、合格证。</w:t>
            </w:r>
          </w:p>
          <w:p>
            <w:pPr>
              <w:pStyle w:val="null3"/>
              <w:jc w:val="both"/>
            </w:pPr>
            <w:r>
              <w:rPr>
                <w:rFonts w:ascii="仿宋_GB2312" w:hAnsi="仿宋_GB2312" w:cs="仿宋_GB2312" w:eastAsia="仿宋_GB2312"/>
                <w:sz w:val="24"/>
                <w:b/>
              </w:rPr>
              <w:t>（七）合同实施：</w:t>
            </w:r>
          </w:p>
          <w:p>
            <w:pPr>
              <w:pStyle w:val="null3"/>
              <w:ind w:firstLine="480"/>
              <w:jc w:val="both"/>
            </w:pPr>
            <w:r>
              <w:rPr>
                <w:rFonts w:ascii="仿宋_GB2312" w:hAnsi="仿宋_GB2312" w:cs="仿宋_GB2312" w:eastAsia="仿宋_GB2312"/>
                <w:sz w:val="24"/>
              </w:rPr>
              <w:t>1.成交单位应在合同签订后7个日历日内安排人员（项目组成人员简历表所列）与使用单位就送货、安装等工作进行安排、部署。</w:t>
            </w:r>
          </w:p>
          <w:p>
            <w:pPr>
              <w:pStyle w:val="null3"/>
              <w:ind w:firstLine="480"/>
              <w:jc w:val="both"/>
            </w:pPr>
            <w:r>
              <w:rPr>
                <w:rFonts w:ascii="仿宋_GB2312" w:hAnsi="仿宋_GB2312" w:cs="仿宋_GB2312" w:eastAsia="仿宋_GB2312"/>
                <w:sz w:val="24"/>
              </w:rPr>
              <w:t>2.若因成交单位原因未能在工期内完成合同规定的义务，由此对采购人造成的延误和一切损失，由成交单位人承担和赔偿。</w:t>
            </w:r>
          </w:p>
          <w:p>
            <w:pPr>
              <w:pStyle w:val="null3"/>
              <w:jc w:val="both"/>
            </w:pPr>
            <w:r>
              <w:rPr>
                <w:rFonts w:ascii="仿宋_GB2312" w:hAnsi="仿宋_GB2312" w:cs="仿宋_GB2312" w:eastAsia="仿宋_GB2312"/>
                <w:sz w:val="24"/>
                <w:b/>
              </w:rPr>
              <w:t>（八）违约责任：</w:t>
            </w:r>
          </w:p>
          <w:p>
            <w:pPr>
              <w:pStyle w:val="null3"/>
              <w:ind w:firstLine="480"/>
              <w:jc w:val="both"/>
            </w:pPr>
            <w:r>
              <w:rPr>
                <w:rFonts w:ascii="仿宋_GB2312" w:hAnsi="仿宋_GB2312" w:cs="仿宋_GB2312" w:eastAsia="仿宋_GB2312"/>
                <w:sz w:val="24"/>
              </w:rPr>
              <w:t>8.1按《中华人民共和国民法典》中的相关条款执行。</w:t>
            </w:r>
          </w:p>
          <w:p>
            <w:pPr>
              <w:pStyle w:val="null3"/>
              <w:ind w:firstLine="480"/>
              <w:jc w:val="both"/>
            </w:pPr>
            <w:r>
              <w:rPr>
                <w:rFonts w:ascii="仿宋_GB2312" w:hAnsi="仿宋_GB2312" w:cs="仿宋_GB2312" w:eastAsia="仿宋_GB2312"/>
                <w:sz w:val="24"/>
              </w:rPr>
              <w:t>8.2乙方履约延误</w:t>
            </w:r>
          </w:p>
          <w:p>
            <w:pPr>
              <w:pStyle w:val="null3"/>
              <w:ind w:firstLine="480"/>
              <w:jc w:val="both"/>
            </w:pPr>
            <w:r>
              <w:rPr>
                <w:rFonts w:ascii="仿宋_GB2312" w:hAnsi="仿宋_GB2312" w:cs="仿宋_GB2312" w:eastAsia="仿宋_GB2312"/>
                <w:sz w:val="24"/>
              </w:rPr>
              <w:t>如乙方事先未征得甲方同意并得到甲方的谅解而单方面延迟执行合同，将按违约终止合同。</w:t>
            </w:r>
          </w:p>
          <w:p>
            <w:pPr>
              <w:pStyle w:val="null3"/>
              <w:ind w:firstLine="480"/>
              <w:jc w:val="both"/>
            </w:pPr>
            <w:r>
              <w:rPr>
                <w:rFonts w:ascii="仿宋_GB2312" w:hAnsi="仿宋_GB2312" w:cs="仿宋_GB2312" w:eastAsia="仿宋_GB2312"/>
                <w:sz w:val="24"/>
              </w:rPr>
              <w:t>在履行合同过程中，如果乙方遇到可能妨碍按时提供服务的情况，应及时以书面形式将拖延的事实，可能拖延的期限和理由通知甲方。甲方在收到乙方通知后，应尽快对情况进行评价，并确定是否通过修改合同，酌情延长交货时间或对乙方加收误期赔偿金。每延误一周的赔偿费按合同金额的百分之零点五（</w:t>
            </w:r>
            <w:r>
              <w:rPr>
                <w:rFonts w:ascii="仿宋_GB2312" w:hAnsi="仿宋_GB2312" w:cs="仿宋_GB2312" w:eastAsia="仿宋_GB2312"/>
                <w:sz w:val="24"/>
              </w:rPr>
              <w:t>0.5%）计收，直至提供服务为止。误期赔偿费的最高限额为合同价格的百分之五（5%）。一旦达到误期赔偿费的最高限额，甲方可终止合同。</w:t>
            </w:r>
          </w:p>
          <w:p>
            <w:pPr>
              <w:pStyle w:val="null3"/>
              <w:ind w:firstLine="480"/>
              <w:jc w:val="both"/>
            </w:pPr>
            <w:r>
              <w:rPr>
                <w:rFonts w:ascii="仿宋_GB2312" w:hAnsi="仿宋_GB2312" w:cs="仿宋_GB2312" w:eastAsia="仿宋_GB2312"/>
                <w:sz w:val="24"/>
              </w:rPr>
              <w:t>违约终止合同：未按合同要求提供服务或不能满足技术要求，甲方会同监督机构有权终止合同，对乙方违约行为进行追究，同时按政府采购法的有关规定进行相应的处罚。</w:t>
            </w:r>
          </w:p>
          <w:p>
            <w:pPr>
              <w:pStyle w:val="null3"/>
              <w:jc w:val="both"/>
            </w:pPr>
            <w:r>
              <w:rPr>
                <w:rFonts w:ascii="仿宋_GB2312" w:hAnsi="仿宋_GB2312" w:cs="仿宋_GB2312" w:eastAsia="仿宋_GB2312"/>
                <w:sz w:val="24"/>
                <w:b/>
              </w:rPr>
              <w:t>注：</w:t>
            </w:r>
            <w:r>
              <w:rPr>
                <w:rFonts w:ascii="仿宋_GB2312" w:hAnsi="仿宋_GB2312" w:cs="仿宋_GB2312" w:eastAsia="仿宋_GB2312"/>
                <w:sz w:val="24"/>
                <w:b/>
              </w:rPr>
              <w:t>以上</w:t>
            </w:r>
            <w:r>
              <w:rPr>
                <w:rFonts w:ascii="仿宋_GB2312" w:hAnsi="仿宋_GB2312" w:cs="仿宋_GB2312" w:eastAsia="仿宋_GB2312"/>
                <w:sz w:val="24"/>
                <w:b/>
              </w:rPr>
              <w:t>商务要求为实质性要求，不得负偏离</w:t>
            </w:r>
            <w:r>
              <w:rPr>
                <w:rFonts w:ascii="仿宋_GB2312" w:hAnsi="仿宋_GB2312" w:cs="仿宋_GB2312" w:eastAsia="仿宋_GB2312"/>
                <w:sz w:val="24"/>
                <w:b/>
              </w:rPr>
              <w:t>，</w:t>
            </w:r>
            <w:r>
              <w:rPr>
                <w:rFonts w:ascii="仿宋_GB2312" w:hAnsi="仿宋_GB2312" w:cs="仿宋_GB2312" w:eastAsia="仿宋_GB2312"/>
                <w:sz w:val="24"/>
                <w:b/>
              </w:rPr>
              <w:t>否则按废标处理</w:t>
            </w:r>
            <w:r>
              <w:rPr>
                <w:rFonts w:ascii="仿宋_GB2312" w:hAnsi="仿宋_GB2312" w:cs="仿宋_GB2312" w:eastAsia="仿宋_GB2312"/>
                <w:sz w:val="24"/>
                <w:b/>
              </w:rPr>
              <w:t>。</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合同签订后20日历天内交货并安装调试完成达到使用条件。</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西安市长安区魏寨街道魏寨村</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合同签订后，采购人向成交供应商支付合同总价款的30%作为预付款</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待所有设备全部运输到采购人指定地点后支付合同总价款的65%</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65.00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剩余合同总价款5%待所有设备安装调试完毕验收合格后一次性付清。 结算方式：按照支付程序进行银行转账。 结算单位：由甲方负责结算，乙方依据合同条款按甲方要求开具正式发票交采购人。</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（1）所供产品的规格、数量符合竞争性谈判文件要求，供应商承诺及采购合同约定的要求。 （2）所有产品均已运输至指定地点，并安装调试完毕。 （3）供应商承诺及采购合同约定的附件、工具、技术资料等齐全；提供产品使用说明书、合格证。</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1.所有产品的质保期为终验合格后不少于1年，成交人承诺的质保时间超过竞争性谈判文件要求的，按其承诺时间质保。 2.成交单位承诺的质保期起始时间为终验合格之日。 3.所有产品质量必须符合国家有关规范和相关政策。所有产品及辅材必须是未使用过的新产品，质量优良、渠道正当，配置合理。 4.质保期出现的质量问题由成交单位负责解决并承担所有费用。质保期后如需更换零部件，成交应以优惠价提供。</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双方当事人约定，在履行合同过程中产生争议时： （1）请合同主管部门调解； （2）合同争议调解不成的，依法向西安市长安区人民法院提起诉讼。</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本项目专门面向中小企业采购，仅限符合《政府采购促进中小企业发展管理办法》（财库〔2020〕46号）条件的企业参与，供应商应填写中小企业声明函并对真实性负责（残疾人福利性单位及监狱企业视同为小型、微型企业）。2.本项目采购标的所属行业为：工业。（按照《工信部、国家统计局、发改委、财政部、工信部联企业》中小企业划型标准（〔2011〕300号）规定：工业。从业人员1000人以下或营业收入40000万元以下的为中小微型企业。其中，从业人员300人及以上，且营业收入2000万元及以上的为中型企业；从业人员20人及以上，且营业收入300万元及以上的为小型企业；从业人员20人以下或营业收入300万元以下的为微型企业。</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w:t>
            </w:r>
          </w:p>
        </w:tc>
        <w:tc>
          <w:tcPr>
            <w:tcW w:type="dxa" w:w="3322"/>
          </w:tcPr>
          <w:p>
            <w:pPr>
              <w:pStyle w:val="null3"/>
            </w:pPr>
            <w:r>
              <w:rPr>
                <w:rFonts w:ascii="仿宋_GB2312" w:hAnsi="仿宋_GB2312" w:cs="仿宋_GB2312" w:eastAsia="仿宋_GB2312"/>
              </w:rPr>
              <w:t>具有独立承担民事责任能力的企业法人或其他组织，提供合法有效的（三证合一）统一社会信用代码的营业执照等证明文件，供应商需在项目电子化交易系统中按要求上传相应证明文件并进行电子签章；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法定代表人身份证明书及授权书</w:t>
            </w:r>
          </w:p>
        </w:tc>
        <w:tc>
          <w:tcPr>
            <w:tcW w:type="dxa" w:w="3322"/>
          </w:tcPr>
          <w:p>
            <w:pPr>
              <w:pStyle w:val="null3"/>
            </w:pPr>
            <w:r>
              <w:rPr>
                <w:rFonts w:ascii="仿宋_GB2312" w:hAnsi="仿宋_GB2312" w:cs="仿宋_GB2312" w:eastAsia="仿宋_GB2312"/>
              </w:rPr>
              <w:t>法定代表人直接投标须提交法定代表人身份证明书，法定代表人授权代表参加投标的，须出具法定代表人授权书及被授权人身份证复印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审计报告</w:t>
            </w:r>
          </w:p>
        </w:tc>
        <w:tc>
          <w:tcPr>
            <w:tcW w:type="dxa" w:w="3322"/>
          </w:tcPr>
          <w:p>
            <w:pPr>
              <w:pStyle w:val="null3"/>
            </w:pPr>
            <w:r>
              <w:rPr>
                <w:rFonts w:ascii="仿宋_GB2312" w:hAnsi="仿宋_GB2312" w:cs="仿宋_GB2312" w:eastAsia="仿宋_GB2312"/>
              </w:rPr>
              <w:t>供应商须提供2023年度或2024年度经会计师事务所审计的审计报告（新成立企业可从成立当年开始提供相对应的财务报表）或其基本存款账户开户银行出具的资信证明（资信证明开具日期为采购公告发布之日后），或财政部门认可的政府采购专业担保机构出具的投标担保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税收缴纳凭证</w:t>
            </w:r>
          </w:p>
        </w:tc>
        <w:tc>
          <w:tcPr>
            <w:tcW w:type="dxa" w:w="3322"/>
          </w:tcPr>
          <w:p>
            <w:pPr>
              <w:pStyle w:val="null3"/>
            </w:pPr>
            <w:r>
              <w:rPr>
                <w:rFonts w:ascii="仿宋_GB2312" w:hAnsi="仿宋_GB2312" w:cs="仿宋_GB2312" w:eastAsia="仿宋_GB2312"/>
              </w:rPr>
              <w:t>供应商须提供投标截止时间前十二个月内任意一个月的税收缴纳凭证（注：依法免税或零申报的供应商应提供相关文件证明；若为新成立企业须提供相应月度的缴税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社会保险缴纳凭证</w:t>
            </w:r>
          </w:p>
        </w:tc>
        <w:tc>
          <w:tcPr>
            <w:tcW w:type="dxa" w:w="3322"/>
          </w:tcPr>
          <w:p>
            <w:pPr>
              <w:pStyle w:val="null3"/>
            </w:pPr>
            <w:r>
              <w:rPr>
                <w:rFonts w:ascii="仿宋_GB2312" w:hAnsi="仿宋_GB2312" w:cs="仿宋_GB2312" w:eastAsia="仿宋_GB2312"/>
              </w:rPr>
              <w:t>供应商须提供投标截止时间前十二个月内任意一个月的社会保险缴纳凭证（注：依法不需要缴纳社会保障资金的供应商应提供相关文件证明；若为新成立企业可提供相应月度的社会保险缴纳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具有履行合同所必需的设备和专业技术能力的承诺函</w:t>
            </w:r>
          </w:p>
        </w:tc>
        <w:tc>
          <w:tcPr>
            <w:tcW w:type="dxa" w:w="3322"/>
          </w:tcPr>
          <w:p>
            <w:pPr>
              <w:pStyle w:val="null3"/>
            </w:pPr>
            <w:r>
              <w:rPr>
                <w:rFonts w:ascii="仿宋_GB2312" w:hAnsi="仿宋_GB2312" w:cs="仿宋_GB2312" w:eastAsia="仿宋_GB2312"/>
              </w:rPr>
              <w:t>供应商须提供具有履行合同所必需的设备和专业技术能力的承诺函(加盖供应商公章)，供应商需在项目电子化交易系统中按要求上传相应证明文件并进行电子签章；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供应商应具备良好的商业信誉，提供参加政府采购活动前3年内在经营活动中没有重大违法记录的书面声明，供应商需在项目电子化交易系统中按要求上传相应证明文件并进行电子签章；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不良行为查询</w:t>
            </w:r>
          </w:p>
        </w:tc>
        <w:tc>
          <w:tcPr>
            <w:tcW w:type="dxa" w:w="3322"/>
          </w:tcPr>
          <w:p>
            <w:pPr>
              <w:pStyle w:val="null3"/>
            </w:pPr>
            <w:r>
              <w:rPr>
                <w:rFonts w:ascii="仿宋_GB2312" w:hAnsi="仿宋_GB2312" w:cs="仿宋_GB2312" w:eastAsia="仿宋_GB2312"/>
              </w:rPr>
              <w:t>供应商不得为“信用中国”网站中被列入失信被执行人、重大税收违法案件当事人名单，不得为中国政府采购网政府采购严重违法失信行为记录名单中被财政部门禁止参加政府采购活动的供应商（不强制要求供应商提供查询截图，以开标当天网上查询结果为评审依据）；</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项目专门面向中小企业采购，仅限符合《政府采购促进中小企业发展管理办法》（财库〔2020〕46号）条件的企业参与，供应商应填写中小企业声明函并对真实性负责（残疾人福利性单位及监狱企业视同为小型、微型企业）；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中小企业声明函 残疾人福利性单位声明函 资格证明文件.docx 监狱企业的证明文件</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关联关系承诺书</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单位负责人为同一人或者存在直接控股、管理关系的不同供应商，不得参加同一合同项下的投标活动；供应商需在项目电子化交易系统中按要求上传相应证明文件并进行电子签章。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企业名称</w:t>
            </w:r>
          </w:p>
        </w:tc>
        <w:tc>
          <w:tcPr>
            <w:tcW w:type="dxa" w:w="3322"/>
          </w:tcPr>
          <w:p>
            <w:pPr>
              <w:pStyle w:val="null3"/>
            </w:pPr>
            <w:r>
              <w:rPr>
                <w:rFonts w:ascii="仿宋_GB2312" w:hAnsi="仿宋_GB2312" w:cs="仿宋_GB2312" w:eastAsia="仿宋_GB2312"/>
              </w:rPr>
              <w:t>供应商响应文件名称与营业执照的单位名称不一致；</w:t>
            </w:r>
          </w:p>
        </w:tc>
        <w:tc>
          <w:tcPr>
            <w:tcW w:type="dxa" w:w="1661"/>
          </w:tcPr>
          <w:p>
            <w:pPr>
              <w:pStyle w:val="null3"/>
            </w:pPr>
            <w:r>
              <w:rPr>
                <w:rFonts w:ascii="仿宋_GB2312" w:hAnsi="仿宋_GB2312" w:cs="仿宋_GB2312" w:eastAsia="仿宋_GB2312"/>
              </w:rPr>
              <w:t>中小企业声明函 商务应答表 供应商应提交的相关资格证明材料 报价表 供应商承诺书.docx 业绩证明文件.docx 资格证明文件.docx 响应文件封面 产品技术参数表 分项报价表.docx 残疾人福利性单位声明函 标的清单 响应函 服务方案.docx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响应文件的签字盖章</w:t>
            </w:r>
          </w:p>
        </w:tc>
        <w:tc>
          <w:tcPr>
            <w:tcW w:type="dxa" w:w="3322"/>
          </w:tcPr>
          <w:p>
            <w:pPr>
              <w:pStyle w:val="null3"/>
            </w:pPr>
            <w:r>
              <w:rPr>
                <w:rFonts w:ascii="仿宋_GB2312" w:hAnsi="仿宋_GB2312" w:cs="仿宋_GB2312" w:eastAsia="仿宋_GB2312"/>
              </w:rPr>
              <w:t>谈判响应文件未按照谈判文件的要求盖章签字；</w:t>
            </w:r>
          </w:p>
        </w:tc>
        <w:tc>
          <w:tcPr>
            <w:tcW w:type="dxa" w:w="1661"/>
          </w:tcPr>
          <w:p>
            <w:pPr>
              <w:pStyle w:val="null3"/>
            </w:pPr>
            <w:r>
              <w:rPr>
                <w:rFonts w:ascii="仿宋_GB2312" w:hAnsi="仿宋_GB2312" w:cs="仿宋_GB2312" w:eastAsia="仿宋_GB2312"/>
              </w:rPr>
              <w:t>响应文件封面 产品技术参数表 分项报价表.docx 中小企业声明函 商务应答表 供应商应提交的相关资格证明材料 标的清单 报价表 响应函 服务方案.docx 供应商承诺书.docx 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谈判报价</w:t>
            </w:r>
          </w:p>
        </w:tc>
        <w:tc>
          <w:tcPr>
            <w:tcW w:type="dxa" w:w="3322"/>
          </w:tcPr>
          <w:p>
            <w:pPr>
              <w:pStyle w:val="null3"/>
            </w:pPr>
            <w:r>
              <w:rPr>
                <w:rFonts w:ascii="仿宋_GB2312" w:hAnsi="仿宋_GB2312" w:cs="仿宋_GB2312" w:eastAsia="仿宋_GB2312"/>
              </w:rPr>
              <w:t>谈判报价（每轮）未超过最高限价，超过最高限价的按废标处理；</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谈判有效期</w:t>
            </w:r>
          </w:p>
        </w:tc>
        <w:tc>
          <w:tcPr>
            <w:tcW w:type="dxa" w:w="3322"/>
          </w:tcPr>
          <w:p>
            <w:pPr>
              <w:pStyle w:val="null3"/>
            </w:pPr>
            <w:r>
              <w:rPr>
                <w:rFonts w:ascii="仿宋_GB2312" w:hAnsi="仿宋_GB2312" w:cs="仿宋_GB2312" w:eastAsia="仿宋_GB2312"/>
              </w:rPr>
              <w:t>谈判有效期不符合谈判文件的要求；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谈判商务响应</w:t>
            </w:r>
          </w:p>
        </w:tc>
        <w:tc>
          <w:tcPr>
            <w:tcW w:type="dxa" w:w="3322"/>
          </w:tcPr>
          <w:p>
            <w:pPr>
              <w:pStyle w:val="null3"/>
            </w:pPr>
            <w:r>
              <w:rPr>
                <w:rFonts w:ascii="仿宋_GB2312" w:hAnsi="仿宋_GB2312" w:cs="仿宋_GB2312" w:eastAsia="仿宋_GB2312"/>
              </w:rPr>
              <w:t>供应商响应文件对谈判文件中的商务要求未作出明确，且未实质性响应；</w:t>
            </w:r>
          </w:p>
        </w:tc>
        <w:tc>
          <w:tcPr>
            <w:tcW w:type="dxa" w:w="1661"/>
          </w:tcPr>
          <w:p>
            <w:pPr>
              <w:pStyle w:val="null3"/>
            </w:pPr>
            <w:r>
              <w:rPr>
                <w:rFonts w:ascii="仿宋_GB2312" w:hAnsi="仿宋_GB2312" w:cs="仿宋_GB2312" w:eastAsia="仿宋_GB2312"/>
              </w:rPr>
              <w:t>响应文件封面 商务应答表 服务方案.docx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谈判技术响应</w:t>
            </w:r>
          </w:p>
        </w:tc>
        <w:tc>
          <w:tcPr>
            <w:tcW w:type="dxa" w:w="3322"/>
          </w:tcPr>
          <w:p>
            <w:pPr>
              <w:pStyle w:val="null3"/>
            </w:pPr>
            <w:r>
              <w:rPr>
                <w:rFonts w:ascii="仿宋_GB2312" w:hAnsi="仿宋_GB2312" w:cs="仿宋_GB2312" w:eastAsia="仿宋_GB2312"/>
              </w:rPr>
              <w:t>供应商响应文件对谈判文件技术要求未作出明确，且未实质性响应；</w:t>
            </w:r>
          </w:p>
        </w:tc>
        <w:tc>
          <w:tcPr>
            <w:tcW w:type="dxa" w:w="1661"/>
          </w:tcPr>
          <w:p>
            <w:pPr>
              <w:pStyle w:val="null3"/>
            </w:pPr>
            <w:r>
              <w:rPr>
                <w:rFonts w:ascii="仿宋_GB2312" w:hAnsi="仿宋_GB2312" w:cs="仿宋_GB2312" w:eastAsia="仿宋_GB2312"/>
              </w:rPr>
              <w:t>产品技术参数表 服务方案.docx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无效情形</w:t>
            </w:r>
          </w:p>
        </w:tc>
        <w:tc>
          <w:tcPr>
            <w:tcW w:type="dxa" w:w="3322"/>
          </w:tcPr>
          <w:p>
            <w:pPr>
              <w:pStyle w:val="null3"/>
            </w:pPr>
            <w:r>
              <w:rPr>
                <w:rFonts w:ascii="仿宋_GB2312" w:hAnsi="仿宋_GB2312" w:cs="仿宋_GB2312" w:eastAsia="仿宋_GB2312"/>
              </w:rPr>
              <w:t>法律、法规和谈判文件规定的其他无效情形。</w:t>
            </w:r>
          </w:p>
        </w:tc>
        <w:tc>
          <w:tcPr>
            <w:tcW w:type="dxa" w:w="1661"/>
          </w:tcPr>
          <w:p>
            <w:pPr>
              <w:pStyle w:val="null3"/>
            </w:pPr>
            <w:r>
              <w:rPr>
                <w:rFonts w:ascii="仿宋_GB2312" w:hAnsi="仿宋_GB2312" w:cs="仿宋_GB2312" w:eastAsia="仿宋_GB2312"/>
              </w:rPr>
              <w:t>中小企业声明函 商务应答表 供应商应提交的相关资格证明材料 报价表 供应商承诺书.docx 业绩证明文件.docx 资格证明文件.docx 响应文件封面 产品技术参数表 分项报价表.docx 残疾人福利性单位声明函 标的清单 响应函 服务方案.docx 监狱企业的证明文件</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详见附件：业绩证明文件.docx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详见附件：资格证明文件.docx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详见附件：拟签订合同条款.docx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