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版本号：SZT2025-SN-QC-ZC-GC-083020250817001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长安区终南大道砲里引线滑坡治理工程（二期）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SZT2025-SN-QC-ZC-GC-0830</w:t>
      </w:r>
      <w:r>
        <w:br/>
      </w:r>
      <w:r>
        <w:br/>
      </w:r>
      <w:r>
        <w:br/>
      </w:r>
    </w:p>
    <w:p>
      <w:pPr>
        <w:pStyle w:val="null3"/>
        <w:jc w:val="center"/>
        <w:outlineLvl w:val="2"/>
      </w:pPr>
      <w:r>
        <w:rPr>
          <w:rFonts w:ascii="仿宋_GB2312" w:hAnsi="仿宋_GB2312" w:cs="仿宋_GB2312" w:eastAsia="仿宋_GB2312"/>
          <w:sz w:val="28"/>
          <w:b/>
        </w:rPr>
        <w:t>西安市自然资源和规划局长安分局矿产资源管理站</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委托，拟对</w:t>
      </w:r>
      <w:r>
        <w:rPr>
          <w:rFonts w:ascii="仿宋_GB2312" w:hAnsi="仿宋_GB2312" w:cs="仿宋_GB2312" w:eastAsia="仿宋_GB2312"/>
        </w:rPr>
        <w:t>长安区终南大道砲里引线滑坡治理工程（二期）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SZT2025-SN-QC-ZC-GC-0830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长安区终南大道砲里引线滑坡治理工程（二期）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长安区终南大道砲里引线滑坡治理工程（二期）位于长安区终南大道砲里引线滑坡位于西安市长安区魏寨街道，该滑坡可划分为 H0 古滑坡及 H0-1次级滑坡。本项目建设内容主要包括:土方工程、桩板式挡墙工程、截排水工程、监测工程等项目内容。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采购包1（长安区终南大道砲里引线滑坡治理工程(二期)）：属于专门面向中小企业采购。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1、拟派项目负责人资质和专业要求：项目负责人须具备二级以上（含二级）水利水电工程专业或建筑工程专业注册建造师证书和项目经理安全生产考核合格证，且无在建工程（承诺书）。</w:t>
      </w:r>
    </w:p>
    <w:p>
      <w:pPr>
        <w:pStyle w:val="null3"/>
      </w:pPr>
      <w:r>
        <w:rPr>
          <w:rFonts w:ascii="仿宋_GB2312" w:hAnsi="仿宋_GB2312" w:cs="仿宋_GB2312" w:eastAsia="仿宋_GB2312"/>
        </w:rPr>
        <w:t>2、供应商要求：供应商须具备地质灾害防治单位资质施工乙级以上资质（含乙级），并具备安全生产许可证。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西安市自然资源和规划局长安分局矿产资源管理站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长安区西长安街79号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029-85295468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西安市高新区高新四路 1 号高科广场 A1001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杨艳、李毓菲、李娜、单博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采购包1：3,997,700.00元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向招标代理机构交纳招标代理服务费。招标代理服务费的收取参见国家计委颁布的《招标代理服务收费管理暂行办法》（计价格[2002]1980号）和（发改办价格[2011]534号）中收费标准，按照成交金额差额定率累进法计算。此招标代理服务费应计入投标中，但不单列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西安市自然资源和规划局长安分局矿产资源管理站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地址：西安市高新区高新四路1号高科广场A座1001室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3,997,700.00</w:t>
      </w:r>
    </w:p>
    <w:p>
      <w:pPr>
        <w:pStyle w:val="null3"/>
      </w:pPr>
      <w:r>
        <w:rPr>
          <w:rFonts w:ascii="仿宋_GB2312" w:hAnsi="仿宋_GB2312" w:cs="仿宋_GB2312" w:eastAsia="仿宋_GB2312"/>
        </w:rPr>
        <w:t>采购包最高限价（元）: 3,997,699.42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终南大道砲里引线滑坡治理工程（二期）</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3,997,700.00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标的名称：终南大道砲里引线滑坡治理工程（二期）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1.工程概况</w:t>
            </w:r>
          </w:p>
          <w:p>
            <w:pPr>
              <w:pStyle w:val="null3"/>
            </w:pPr>
            <w:r>
              <w:rPr>
                <w:rFonts w:ascii="仿宋_GB2312" w:hAnsi="仿宋_GB2312" w:cs="仿宋_GB2312" w:eastAsia="仿宋_GB2312"/>
              </w:rPr>
              <w:t>长安区终南大道砲里引线滑坡治理工程（二期）位于长安区终南大道砲里引线滑坡位于西安市长安区魏寨街道，该滑坡可划分为 H0 古滑坡及 H0-1次级滑坡。本项目建设内容主要包括:土方工程、桩板式挡墙工程、截排水工程、监测工程等项目内容。</w:t>
            </w:r>
          </w:p>
          <w:p>
            <w:pPr>
              <w:pStyle w:val="null3"/>
            </w:pPr>
            <w:r>
              <w:rPr>
                <w:rFonts w:ascii="仿宋_GB2312" w:hAnsi="仿宋_GB2312" w:cs="仿宋_GB2312" w:eastAsia="仿宋_GB2312"/>
              </w:rPr>
              <w:t>2.编制依据及原则</w:t>
            </w:r>
          </w:p>
          <w:p>
            <w:pPr>
              <w:pStyle w:val="null3"/>
            </w:pPr>
            <w:r>
              <w:rPr>
                <w:rFonts w:ascii="仿宋_GB2312" w:hAnsi="仿宋_GB2312" w:cs="仿宋_GB2312" w:eastAsia="仿宋_GB2312"/>
              </w:rPr>
              <w:t>（1）执行陕发改项目[2017]1606 号关于《陕西省水利工程设计预算编制规定》、《陕西省水利建筑工程预算定额》及《水利部办公厅关于调整水利工程计价依据增值税计算标准的通知》（办财务函[2019]448 号）编制。</w:t>
            </w:r>
          </w:p>
          <w:p>
            <w:pPr>
              <w:pStyle w:val="null3"/>
            </w:pPr>
            <w:r>
              <w:rPr>
                <w:rFonts w:ascii="仿宋_GB2312" w:hAnsi="仿宋_GB2312" w:cs="仿宋_GB2312" w:eastAsia="仿宋_GB2312"/>
              </w:rPr>
              <w:t>（2）长安区终南大道砲里引线滑坡治理工程（二期）相关图纸。</w:t>
            </w:r>
          </w:p>
          <w:p>
            <w:pPr>
              <w:pStyle w:val="null3"/>
            </w:pPr>
            <w:r>
              <w:rPr>
                <w:rFonts w:ascii="仿宋_GB2312" w:hAnsi="仿宋_GB2312" w:cs="仿宋_GB2312" w:eastAsia="仿宋_GB2312"/>
              </w:rPr>
              <w:t>3.取费标准及计算方法</w:t>
            </w:r>
          </w:p>
          <w:p>
            <w:pPr>
              <w:pStyle w:val="null3"/>
            </w:pPr>
            <w:r>
              <w:rPr>
                <w:rFonts w:ascii="仿宋_GB2312" w:hAnsi="仿宋_GB2312" w:cs="仿宋_GB2312" w:eastAsia="仿宋_GB2312"/>
              </w:rPr>
              <w:t>（1）其他直接费均以基本直接费为取费基础，取 4.5％；</w:t>
            </w:r>
          </w:p>
          <w:p>
            <w:pPr>
              <w:pStyle w:val="null3"/>
            </w:pPr>
            <w:r>
              <w:rPr>
                <w:rFonts w:ascii="仿宋_GB2312" w:hAnsi="仿宋_GB2312" w:cs="仿宋_GB2312" w:eastAsia="仿宋_GB2312"/>
              </w:rPr>
              <w:t>（2）间接费：均以直接费为取费基础，土方工程取 4％，石方工程、混凝土制作、疏浚工程、其他取6%，模板工程、钢筋制作安装工程取5%，钻孔灌浆及锚固工程取9%，设备安装工程取60％；</w:t>
            </w:r>
          </w:p>
          <w:p>
            <w:pPr>
              <w:pStyle w:val="null3"/>
            </w:pPr>
            <w:r>
              <w:rPr>
                <w:rFonts w:ascii="仿宋_GB2312" w:hAnsi="仿宋_GB2312" w:cs="仿宋_GB2312" w:eastAsia="仿宋_GB2312"/>
              </w:rPr>
              <w:t>（3）利润取直接费与间接费之和的 5％；</w:t>
            </w:r>
          </w:p>
          <w:p>
            <w:pPr>
              <w:pStyle w:val="null3"/>
            </w:pPr>
            <w:r>
              <w:rPr>
                <w:rFonts w:ascii="仿宋_GB2312" w:hAnsi="仿宋_GB2312" w:cs="仿宋_GB2312" w:eastAsia="仿宋_GB2312"/>
              </w:rPr>
              <w:t>（4）税金取增值税销项税率 9％。</w:t>
            </w:r>
          </w:p>
          <w:p>
            <w:pPr>
              <w:pStyle w:val="null3"/>
            </w:pPr>
            <w:r>
              <w:rPr>
                <w:rFonts w:ascii="仿宋_GB2312" w:hAnsi="仿宋_GB2312" w:cs="仿宋_GB2312" w:eastAsia="仿宋_GB2312"/>
              </w:rPr>
              <w:t>4.特殊说明</w:t>
            </w:r>
          </w:p>
          <w:p>
            <w:pPr>
              <w:pStyle w:val="null3"/>
            </w:pPr>
            <w:r>
              <w:rPr>
                <w:rFonts w:ascii="仿宋_GB2312" w:hAnsi="仿宋_GB2312" w:cs="仿宋_GB2312" w:eastAsia="仿宋_GB2312"/>
              </w:rPr>
              <w:t>（1）临时工程费取建筑工程费的3%；</w:t>
            </w:r>
          </w:p>
          <w:p>
            <w:pPr>
              <w:pStyle w:val="null3"/>
            </w:pPr>
            <w:r>
              <w:rPr>
                <w:rFonts w:ascii="仿宋_GB2312" w:hAnsi="仿宋_GB2312" w:cs="仿宋_GB2312" w:eastAsia="仿宋_GB2312"/>
              </w:rPr>
              <w:t>（2）暂列金额为200000.00元；</w:t>
            </w:r>
          </w:p>
          <w:p>
            <w:pPr>
              <w:pStyle w:val="null3"/>
            </w:pPr>
            <w:r>
              <w:rPr>
                <w:rFonts w:ascii="仿宋_GB2312" w:hAnsi="仿宋_GB2312" w:cs="仿宋_GB2312" w:eastAsia="仿宋_GB2312"/>
              </w:rPr>
              <w:t>（3）工程量清单编制采用陕西省易投造价软件。</w:t>
            </w:r>
          </w:p>
          <w:p>
            <w:pPr>
              <w:pStyle w:val="null3"/>
            </w:pPr>
            <w:r>
              <w:rPr>
                <w:rFonts w:ascii="仿宋_GB2312" w:hAnsi="仿宋_GB2312" w:cs="仿宋_GB2312" w:eastAsia="仿宋_GB2312"/>
              </w:rPr>
              <w:t>5.工期： 240 天</w:t>
            </w:r>
          </w:p>
          <w:p>
            <w:pPr>
              <w:pStyle w:val="null3"/>
            </w:pPr>
            <w:r>
              <w:rPr>
                <w:rFonts w:ascii="仿宋_GB2312" w:hAnsi="仿宋_GB2312" w:cs="仿宋_GB2312" w:eastAsia="仿宋_GB2312"/>
              </w:rPr>
              <w:t>6.付款方式</w:t>
            </w:r>
          </w:p>
          <w:p>
            <w:pPr>
              <w:pStyle w:val="null3"/>
            </w:pPr>
            <w:r>
              <w:rPr>
                <w:rFonts w:ascii="仿宋_GB2312" w:hAnsi="仿宋_GB2312" w:cs="仿宋_GB2312" w:eastAsia="仿宋_GB2312"/>
              </w:rPr>
              <w:t>合同签订后支付总价款的30%，项目完工后支付至合同总价款的80%，项目验收合格竣工结算后付至结算价97%，剩余3%合同款作为质保金在质保期满后无质量及其他问题30日内一次付清。</w:t>
            </w:r>
          </w:p>
          <w:p>
            <w:pPr>
              <w:pStyle w:val="null3"/>
            </w:pPr>
            <w:r>
              <w:rPr>
                <w:rFonts w:ascii="仿宋_GB2312" w:hAnsi="仿宋_GB2312" w:cs="仿宋_GB2312" w:eastAsia="仿宋_GB2312"/>
              </w:rPr>
              <w:t>7.质保期：工程终验后一年。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按照国家及行业相关标准执行。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详见采购需求及合同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报价方式：最后报价方式。 投标报价： 1.本项目单价包括完成一个规定计量单位项目所需的人工费、材料费、机械费、企业管理费、利润、风险费用、规费、税金、安全文明措施专项费、协调费等所有费用。 2.超出最高限价将导致废标。 3.合同单价以磋商最终报价与一次报价的下浮比例，对所有单价进行同比例下浮，以下浮后的价格作为合同执行单价。 踏勘：本项目不组织统一踏勘，供应商自行踏勘。 1. 供应商踏勘现场发生的费用自理。 2.供应商自行负责在踏勘现场中所发生的人员伤亡和财产损失。 3. 采购人在踏勘现场中介绍的工程场地和相关的周边环境情况，以作为供应商在编制磋商响应文件时参考，采购人不对供应商据此作出的判断和决策负责。其他费用：造价咨询费按照陕价行发【2014】88号文件《陕西省执行政府指导价的工程造价咨询服务收费项目和标准》计取，由中标人在领取通知书前付清。账户名称：华睿诚项目管理有限公司；开户行：西安银行小寨东路支行；帐号：816011580000101224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2、具有良好的商业信誉和健全的财务会计制度，提供2024年度经审计完整的财务审计报告，或其开标前6个月内银行出具的资信证明，或财政部门认可的政府采购专业担保机构出具的投标担保函； 3、具有履行合同所必需的设备和专业技术能力的书面声明（格式详见附件）； 4、有依法缴纳税收和社会保障资金的良好记录（提供开标前12个月内任一月份的社保和缴纳税收的证明，依法不需要缴纳社会保障资金、免税或无须缴纳税款的供应商，应提供相关证明文件)；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项目负责人须具备二级以上（含二级）水利水电工程专业或建筑工程专业注册建造师证书和项目经理安全生产考核合格证，且无在建工程（承诺书）。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供应商须具备地质灾害防治单位资质施工乙级以上资质（含乙级），并具备安全生产许可证。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供应商参加政府采购活动承诺书.docx 已标价工程量清单 拒绝政府采购领域商业贿赂承诺书.docx 报价函 标的清单 强制优先采购产品承诺函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法定代表人授权代表参加投标的，须提供法定代表人授权书及授权代表身份证（法定代表人直接参加投标的，须提供法定代表人身份证）。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关于联合体磋商要求</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非联合体磋商承诺书.docx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工期要求完全响应</w:t>
            </w:r>
          </w:p>
        </w:tc>
        <w:tc>
          <w:tcPr>
            <w:tcW w:type="dxa" w:w="1661"/>
          </w:tcPr>
          <w:p>
            <w:pPr>
              <w:pStyle w:val="null3"/>
            </w:pPr>
            <w:r>
              <w:rPr>
                <w:rFonts w:ascii="仿宋_GB2312" w:hAnsi="仿宋_GB2312" w:cs="仿宋_GB2312" w:eastAsia="仿宋_GB2312"/>
              </w:rPr>
              <w:t>磋商报价表.docx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付款方式及项目质保期</w:t>
            </w:r>
          </w:p>
        </w:tc>
        <w:tc>
          <w:tcPr>
            <w:tcW w:type="dxa" w:w="3322"/>
          </w:tcPr>
          <w:p>
            <w:pPr>
              <w:pStyle w:val="null3"/>
            </w:pPr>
            <w:r>
              <w:rPr>
                <w:rFonts w:ascii="仿宋_GB2312" w:hAnsi="仿宋_GB2312" w:cs="仿宋_GB2312" w:eastAsia="仿宋_GB2312"/>
              </w:rPr>
              <w:t>付款方式及项目质保期完全响应</w:t>
            </w:r>
          </w:p>
        </w:tc>
        <w:tc>
          <w:tcPr>
            <w:tcW w:type="dxa" w:w="1661"/>
          </w:tcPr>
          <w:p>
            <w:pPr>
              <w:pStyle w:val="null3"/>
            </w:pPr>
            <w:r>
              <w:rPr>
                <w:rFonts w:ascii="仿宋_GB2312" w:hAnsi="仿宋_GB2312" w:cs="仿宋_GB2312" w:eastAsia="仿宋_GB2312"/>
              </w:rPr>
              <w:t>磋商报价表.docx 商务偏离表.docx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响应文件的签字盖章合格</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报价未超预算或最高限价，无缺漏项</w:t>
            </w:r>
          </w:p>
        </w:tc>
        <w:tc>
          <w:tcPr>
            <w:tcW w:type="dxa" w:w="1661"/>
          </w:tcPr>
          <w:p>
            <w:pPr>
              <w:pStyle w:val="null3"/>
            </w:pPr>
            <w:r>
              <w:rPr>
                <w:rFonts w:ascii="仿宋_GB2312" w:hAnsi="仿宋_GB2312" w:cs="仿宋_GB2312" w:eastAsia="仿宋_GB2312"/>
              </w:rPr>
              <w:t>已标价工程量清单 报价函 标的清单 磋商报价表.docx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有符合本项目工程的质量管理目标和质量管理制度、主要工序的质量技术保证措施和手段。措施是否完备齐全、先进、合理、切实可行。 1.方案及措施内容完整详尽、科学合理、切实可行、针对性强，完全满足施工要求得6分； 2.方案及措施基本完整、较合理可行、针对性不强、基本满足施工要求得4分； 3.方案及措施简单、不能完全满足施工要求得2分；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有现场文明施工计划和环境保护措施，且各项措施周全、具体、有效。 1.方案及措施内容完整详尽、科学合理、切实可行、针对性强，完全满足施工要求得6分； 2.方案及措施基本完整、较合理可行、针对性不强、基本满足施工要求得4分； 3.方案及措施简单、不能完全满足施工要求得2分；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项目组织机构及项目经理部组成人员</w:t>
            </w:r>
          </w:p>
        </w:tc>
        <w:tc>
          <w:tcPr>
            <w:tcW w:type="dxa" w:w="2492"/>
          </w:tcPr>
          <w:p>
            <w:pPr>
              <w:pStyle w:val="null3"/>
            </w:pPr>
            <w:r>
              <w:rPr>
                <w:rFonts w:ascii="仿宋_GB2312" w:hAnsi="仿宋_GB2312" w:cs="仿宋_GB2312" w:eastAsia="仿宋_GB2312"/>
              </w:rPr>
              <w:t>人员齐备、专业配套、相关岗位证书齐全。 1.项目经理及项目部人员配备齐全、专业配套、相关岗位证书齐全，满足项目实际要求得6分； 2.项目经理及项目部人员配备较合理、专业配套、相关岗位证书较齐全，基本满足项目实际要求得4分； 3.项目经理及项目部人员配备不够齐全得2分；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劳动力安排计划及劳务分包情况表</w:t>
            </w:r>
          </w:p>
        </w:tc>
        <w:tc>
          <w:tcPr>
            <w:tcW w:type="dxa" w:w="2492"/>
          </w:tcPr>
          <w:p>
            <w:pPr>
              <w:pStyle w:val="null3"/>
            </w:pPr>
            <w:r>
              <w:rPr>
                <w:rFonts w:ascii="仿宋_GB2312" w:hAnsi="仿宋_GB2312" w:cs="仿宋_GB2312" w:eastAsia="仿宋_GB2312"/>
              </w:rPr>
              <w:t>劳动力安排合理妥当，时间安排合理满足施工需求。 1.方案内容完整详尽、科学合理、切实可行、针对性强，完全满足施工要求得6分； 2.方案基本完整、较合理可行、针对性不强、基本满足施工要求得4分； 3.方案简单、不能完全满足施工要求得2分；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安全管理人员配备合理，制度健全，各道工序安全技术措施针对性强，符合实际且满足要求措施是否完备齐全、先进、合理、切实可行。 1.方案及措施内容完整详尽、科学合理、切实可行、针对性强，完全满足施工要求得6分； 2.方案及措施基本完整、较合理可行、针对性不强、基本满足施工要求得4分； 3.方案及措施简单、不能完全满足施工要求得2分；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有保证工期的技术措施、组织措施及施工进度安排。措施是否完备齐全、先进、合理、切实可行。 1.方案及措施内容完整详尽、科学合理、切实可行、针对性强，完全满足施工要求得6分； 2.方案及措施基本完整、较合理可行、针对性不强、基本满足施工要求得4分； 3.方案及措施简单、不能完全满足施工要求得2分；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有完善、针对性强、切实可行的实施方案。 1.方案内容完整详尽、科学合理、切实可行、针对性强，完全满足施工要求得6分； 2.方案基本完整、较合理可行、针对性不强、基本满足施工要求得4分； 3.方案简单、不能完全满足施工要求得2分；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施工机械配备</w:t>
            </w:r>
          </w:p>
        </w:tc>
        <w:tc>
          <w:tcPr>
            <w:tcW w:type="dxa" w:w="2492"/>
          </w:tcPr>
          <w:p>
            <w:pPr>
              <w:pStyle w:val="null3"/>
            </w:pPr>
            <w:r>
              <w:rPr>
                <w:rFonts w:ascii="仿宋_GB2312" w:hAnsi="仿宋_GB2312" w:cs="仿宋_GB2312" w:eastAsia="仿宋_GB2312"/>
              </w:rPr>
              <w:t>投入的施工机械、设备、机具有详细计划，设备数量、选型配置、进场数量、时间安排合理满足施工需求。 1.投入的施工机械、设备具有详细计划，设备数量、选型配置、进场数量、时间安排合理满足施工需求得6分； 2.投入的施工机械、设备具有较完整的计划，设备数量、选型配置、进场数量、时间安排较满足施工需求得4分； 3.投入的施工机械、设备计划简单，不能完全满足施工需求得2分；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施工进度表或施工网络图，安排科学合理符合本项目施工实际要求。 1.方案内容完整详尽、科学合理、切实可行、针对性强，完全满足施工要求得6分； 2.方案基本完整、较合理可行、针对性不强、基本满足施工要求得4分； 3.方案简单、不能完全满足施工要求得2分；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新技术、新产品、新工艺、新材料应用及施工现场扬尘预防措施</w:t>
            </w:r>
          </w:p>
        </w:tc>
        <w:tc>
          <w:tcPr>
            <w:tcW w:type="dxa" w:w="2492"/>
          </w:tcPr>
          <w:p>
            <w:pPr>
              <w:pStyle w:val="null3"/>
            </w:pPr>
            <w:r>
              <w:rPr>
                <w:rFonts w:ascii="仿宋_GB2312" w:hAnsi="仿宋_GB2312" w:cs="仿宋_GB2312" w:eastAsia="仿宋_GB2312"/>
              </w:rPr>
              <w:t>施工单位应用的技术、产品、工艺、材料等先进科学，并有合理的施工现场扬尘预防措施。 1.方案及措施内容完整详尽、科学合理、切实可行、针对性强，完全满足施工要求得6分； 2.方案及措施基本完整、较合理可行、针对性不强、基本满足施工要求得4分； 3.方案及措施简单、不能完全满足施工要求得2分； 4.未提供得0分。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提供2022年1月1日起至今相关工程业绩，每个有效业绩得2分，满分10分。（时间以合同签订日期为准，提供合同复印件加盖公章）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满足磋商文件要求且最后的磋商报价最低的投标价为评审基准价，其价格分为满分。 磋商报价得分=（评审基准价/磋商报价）×30。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详见附件：非联合体磋商承诺书.docx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