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C57420">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14:paraId="12F40ED7">
      <w:pPr>
        <w:numPr>
          <w:ilvl w:val="0"/>
          <w:numId w:val="0"/>
        </w:numPr>
        <w:spacing w:line="360" w:lineRule="auto"/>
        <w:ind w:left="0" w:leftChars="0"/>
        <w:rPr>
          <w:rFonts w:ascii="仿宋_GB2312" w:hAnsi="仿宋_GB2312" w:eastAsia="仿宋_GB2312" w:cs="仿宋_GB2312"/>
        </w:rPr>
      </w:pPr>
      <w:r>
        <w:rPr>
          <w:rFonts w:ascii="仿宋_GB2312" w:hAnsi="仿宋_GB2312" w:eastAsia="仿宋_GB2312" w:cs="仿宋_GB2312"/>
          <w:kern w:val="2"/>
          <w:sz w:val="24"/>
          <w:lang w:val="en-US" w:eastAsia="zh-CN" w:bidi="ar-SA"/>
        </w:rPr>
        <w:t>1、</w:t>
      </w:r>
      <w:r>
        <w:rPr>
          <w:rFonts w:ascii="仿宋_GB2312" w:hAnsi="仿宋_GB2312" w:eastAsia="仿宋_GB2312" w:cs="仿宋_GB2312"/>
        </w:rPr>
        <w:t>具有独立承担民事责任的能力（企业法人应提供统一社会信用代码的营业执照；事业法人应提供事业单位法人证、组织机构代码证等证明文件；其他组织应提供合法证明文件；自然人提供身份证明文件）；</w:t>
      </w:r>
    </w:p>
    <w:p w14:paraId="4B0CE401">
      <w:pPr>
        <w:numPr>
          <w:numId w:val="0"/>
        </w:numPr>
        <w:spacing w:line="360" w:lineRule="auto"/>
        <w:rPr>
          <w:rFonts w:ascii="仿宋_GB2312" w:hAnsi="仿宋_GB2312" w:eastAsia="仿宋_GB2312" w:cs="仿宋_GB2312"/>
        </w:rPr>
      </w:pPr>
      <w:r>
        <w:rPr>
          <w:rFonts w:ascii="仿宋_GB2312" w:hAnsi="仿宋_GB2312" w:eastAsia="仿宋_GB2312" w:cs="仿宋_GB2312"/>
        </w:rPr>
        <w:t>2、具有良好的商业信誉和健全的财务会计制度，提供2024年度经审计完整的财务审计报告，或其开标前6个月内银行出具的资信证明，或财政部门认可的政府采购专业担保机构出具的投标担保函；</w:t>
      </w:r>
    </w:p>
    <w:p w14:paraId="03499953">
      <w:pPr>
        <w:numPr>
          <w:numId w:val="0"/>
        </w:numPr>
        <w:spacing w:line="360" w:lineRule="auto"/>
        <w:rPr>
          <w:rFonts w:ascii="仿宋_GB2312" w:hAnsi="仿宋_GB2312" w:eastAsia="仿宋_GB2312" w:cs="仿宋_GB2312"/>
        </w:rPr>
      </w:pPr>
      <w:r>
        <w:rPr>
          <w:rFonts w:ascii="仿宋_GB2312" w:hAnsi="仿宋_GB2312" w:eastAsia="仿宋_GB2312" w:cs="仿宋_GB2312"/>
        </w:rPr>
        <w:t>3、具有履行合同所必需的设备和专业技术能力的书面声明（格式详见附件）；</w:t>
      </w:r>
    </w:p>
    <w:p w14:paraId="26046CBE">
      <w:pPr>
        <w:numPr>
          <w:numId w:val="0"/>
        </w:numPr>
        <w:spacing w:line="360" w:lineRule="auto"/>
        <w:rPr>
          <w:rFonts w:ascii="仿宋_GB2312" w:hAnsi="仿宋_GB2312" w:eastAsia="仿宋_GB2312" w:cs="仿宋_GB2312"/>
        </w:rPr>
      </w:pPr>
      <w:r>
        <w:rPr>
          <w:rFonts w:ascii="仿宋_GB2312" w:hAnsi="仿宋_GB2312" w:eastAsia="仿宋_GB2312" w:cs="仿宋_GB2312"/>
        </w:rPr>
        <w:t>4、有依法缴纳税收和社会保障资金的良好记录（提供开标前12个月内任一月份的社保和缴纳税收的证明，依法不需要缴纳社会保障资金、免税或无须缴纳税款的供应商，应提供相关证明文件)；</w:t>
      </w:r>
    </w:p>
    <w:p w14:paraId="54CBEAB6">
      <w:pPr>
        <w:numPr>
          <w:numId w:val="0"/>
        </w:numPr>
        <w:spacing w:line="360" w:lineRule="auto"/>
        <w:rPr>
          <w:rFonts w:hint="eastAsia" w:ascii="仿宋" w:hAnsi="仿宋" w:eastAsia="仿宋" w:cs="仿宋"/>
          <w:sz w:val="24"/>
          <w:szCs w:val="24"/>
          <w:lang w:eastAsia="zh-CN"/>
        </w:rPr>
      </w:pPr>
      <w:r>
        <w:rPr>
          <w:rFonts w:ascii="仿宋_GB2312" w:hAnsi="仿宋_GB2312" w:eastAsia="仿宋_GB2312" w:cs="仿宋_GB2312"/>
        </w:rPr>
        <w:t>5、参加政府采购活动前 3 年内在经营活动中没有重大违法记录的书面声明（格式详见附件）。</w:t>
      </w:r>
    </w:p>
    <w:p w14:paraId="313A9392">
      <w:pPr>
        <w:spacing w:line="360" w:lineRule="auto"/>
        <w:rPr>
          <w:rFonts w:hint="eastAsia" w:ascii="仿宋" w:hAnsi="仿宋" w:cs="仿宋"/>
          <w:sz w:val="24"/>
          <w:szCs w:val="24"/>
          <w:lang w:eastAsia="zh-CN"/>
        </w:rPr>
      </w:pPr>
      <w:r>
        <w:rPr>
          <w:rFonts w:hint="eastAsia" w:ascii="仿宋" w:hAnsi="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r>
        <w:rPr>
          <w:rFonts w:hint="eastAsia" w:ascii="仿宋" w:hAnsi="仿宋" w:cs="仿宋"/>
          <w:sz w:val="24"/>
          <w:szCs w:val="24"/>
          <w:lang w:eastAsia="zh-CN"/>
        </w:rPr>
        <w:t>；</w:t>
      </w:r>
    </w:p>
    <w:p w14:paraId="6E2C8852">
      <w:pPr>
        <w:numPr>
          <w:ilvl w:val="0"/>
          <w:numId w:val="0"/>
        </w:numPr>
        <w:spacing w:line="360" w:lineRule="auto"/>
        <w:ind w:leftChars="0"/>
        <w:rPr>
          <w:rFonts w:hint="default" w:ascii="仿宋" w:hAnsi="仿宋" w:eastAsia="仿宋" w:cs="仿宋"/>
          <w:sz w:val="24"/>
          <w:szCs w:val="24"/>
          <w:lang w:val="en-US" w:eastAsia="zh-CN"/>
        </w:rPr>
      </w:pPr>
      <w:r>
        <w:rPr>
          <w:rFonts w:hint="eastAsia" w:ascii="仿宋" w:hAnsi="仿宋" w:cs="仿宋"/>
          <w:sz w:val="24"/>
          <w:szCs w:val="24"/>
          <w:lang w:val="en-US" w:eastAsia="zh-CN"/>
        </w:rPr>
        <w:t>7、</w:t>
      </w:r>
      <w:r>
        <w:rPr>
          <w:rFonts w:hint="default" w:ascii="仿宋" w:hAnsi="仿宋" w:eastAsia="仿宋" w:cs="仿宋"/>
          <w:sz w:val="24"/>
          <w:szCs w:val="24"/>
          <w:lang w:val="en-US" w:eastAsia="zh-CN"/>
        </w:rPr>
        <w:t>供应商要求</w:t>
      </w:r>
      <w:r>
        <w:rPr>
          <w:rFonts w:hint="eastAsia" w:ascii="仿宋" w:hAnsi="仿宋" w:cs="仿宋"/>
          <w:sz w:val="24"/>
          <w:szCs w:val="24"/>
          <w:lang w:val="en-US" w:eastAsia="zh-CN"/>
        </w:rPr>
        <w:t>：</w:t>
      </w:r>
      <w:r>
        <w:rPr>
          <w:rFonts w:hint="default" w:ascii="仿宋" w:hAnsi="仿宋" w:eastAsia="仿宋" w:cs="仿宋"/>
          <w:sz w:val="24"/>
          <w:szCs w:val="24"/>
          <w:lang w:val="en-US" w:eastAsia="zh-CN"/>
        </w:rPr>
        <w:t>供应商须具备地质灾害防治单位资质施工乙级以上资质（含乙级），并具备安全生产许可证。</w:t>
      </w:r>
    </w:p>
    <w:p w14:paraId="32644268">
      <w:pPr>
        <w:numPr>
          <w:ilvl w:val="0"/>
          <w:numId w:val="0"/>
        </w:numPr>
        <w:spacing w:line="360" w:lineRule="auto"/>
        <w:ind w:leftChars="0"/>
        <w:rPr>
          <w:rFonts w:hint="default" w:ascii="仿宋" w:hAnsi="仿宋" w:eastAsia="仿宋" w:cs="仿宋"/>
          <w:sz w:val="24"/>
          <w:szCs w:val="24"/>
          <w:lang w:val="en-US" w:eastAsia="zh-CN"/>
        </w:rPr>
      </w:pPr>
      <w:r>
        <w:rPr>
          <w:rFonts w:hint="eastAsia" w:ascii="仿宋" w:hAnsi="仿宋" w:cs="仿宋"/>
          <w:sz w:val="24"/>
          <w:szCs w:val="24"/>
          <w:lang w:val="en-US" w:eastAsia="zh-CN"/>
        </w:rPr>
        <w:t>8、</w:t>
      </w:r>
      <w:bookmarkStart w:id="51" w:name="_GoBack"/>
      <w:bookmarkEnd w:id="51"/>
      <w:r>
        <w:rPr>
          <w:rFonts w:hint="default" w:ascii="仿宋" w:hAnsi="仿宋" w:eastAsia="仿宋" w:cs="仿宋"/>
          <w:sz w:val="24"/>
          <w:szCs w:val="24"/>
          <w:lang w:val="en-US" w:eastAsia="zh-CN"/>
        </w:rPr>
        <w:t>拟派项目负责人资质和专业要求</w:t>
      </w:r>
      <w:r>
        <w:rPr>
          <w:rFonts w:hint="eastAsia" w:ascii="仿宋" w:hAnsi="仿宋" w:cs="仿宋"/>
          <w:sz w:val="24"/>
          <w:szCs w:val="24"/>
          <w:lang w:val="en-US" w:eastAsia="zh-CN"/>
        </w:rPr>
        <w:t>：</w:t>
      </w:r>
      <w:r>
        <w:rPr>
          <w:rFonts w:hint="default" w:ascii="仿宋" w:hAnsi="仿宋" w:eastAsia="仿宋" w:cs="仿宋"/>
          <w:sz w:val="24"/>
          <w:szCs w:val="24"/>
          <w:lang w:val="en-US" w:eastAsia="zh-CN"/>
        </w:rPr>
        <w:t>项目负责人须具备二级以上（含二级）水利水电工程专业或建筑工程专业注册建造师证书和项目经理安全生产考核合格证，且无在建工程（承诺书）。</w:t>
      </w:r>
    </w:p>
    <w:p w14:paraId="4B17D368">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14:paraId="69199F4F">
      <w:pPr>
        <w:spacing w:line="360" w:lineRule="auto"/>
        <w:ind w:firstLine="480" w:firstLineChars="200"/>
        <w:rPr>
          <w:rFonts w:hint="eastAsia" w:ascii="仿宋" w:hAnsi="仿宋" w:eastAsia="仿宋" w:cs="仿宋"/>
          <w:color w:val="36363D"/>
          <w:sz w:val="24"/>
          <w:szCs w:val="24"/>
        </w:rPr>
      </w:pPr>
    </w:p>
    <w:p w14:paraId="4DEC2437">
      <w:pPr>
        <w:spacing w:line="360" w:lineRule="auto"/>
        <w:ind w:firstLine="480" w:firstLineChars="200"/>
        <w:rPr>
          <w:rFonts w:hint="eastAsia" w:ascii="仿宋" w:hAnsi="仿宋" w:eastAsia="仿宋" w:cs="仿宋"/>
          <w:color w:val="36363D"/>
          <w:sz w:val="24"/>
          <w:szCs w:val="24"/>
        </w:rPr>
      </w:pPr>
    </w:p>
    <w:p w14:paraId="7E104E20">
      <w:pPr>
        <w:pStyle w:val="2"/>
        <w:spacing w:line="360" w:lineRule="auto"/>
        <w:ind w:left="0" w:leftChars="0" w:firstLine="0" w:firstLineChars="0"/>
        <w:rPr>
          <w:rFonts w:hint="eastAsia" w:ascii="仿宋" w:hAnsi="仿宋" w:eastAsia="仿宋" w:cs="仿宋"/>
          <w:color w:val="36363D"/>
          <w:sz w:val="24"/>
          <w:szCs w:val="24"/>
        </w:rPr>
      </w:pPr>
    </w:p>
    <w:p w14:paraId="320476CB">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7886"/>
      <w:bookmarkStart w:id="1" w:name="_Toc7604"/>
      <w:bookmarkStart w:id="2" w:name="_Toc9245"/>
      <w:bookmarkStart w:id="3" w:name="_Toc21200"/>
      <w:bookmarkStart w:id="4" w:name="_Toc25776"/>
      <w:bookmarkStart w:id="5" w:name="_Toc6704"/>
      <w:bookmarkStart w:id="6" w:name="_Toc5759"/>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14:paraId="21EEE54D">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7860"/>
      <w:bookmarkStart w:id="8" w:name="_Toc20620"/>
      <w:bookmarkStart w:id="9" w:name="_Toc295"/>
      <w:bookmarkStart w:id="10" w:name="_Toc21467"/>
      <w:bookmarkStart w:id="11" w:name="_Toc959"/>
      <w:bookmarkStart w:id="12" w:name="_Toc6501"/>
      <w:bookmarkStart w:id="13" w:name="_Toc10566"/>
      <w:bookmarkStart w:id="14" w:name="_Toc14555"/>
      <w:bookmarkStart w:id="15" w:name="_Toc5390"/>
      <w:bookmarkStart w:id="16" w:name="_Toc7020"/>
      <w:bookmarkStart w:id="17" w:name="_Toc9655"/>
      <w:bookmarkStart w:id="18" w:name="_Toc29152"/>
      <w:bookmarkStart w:id="19" w:name="_Toc249"/>
      <w:r>
        <w:rPr>
          <w:rFonts w:hint="eastAsia" w:ascii="仿宋" w:hAnsi="仿宋" w:eastAsia="仿宋" w:cs="仿宋"/>
          <w:color w:val="0D0D0D"/>
          <w:kern w:val="1"/>
          <w:sz w:val="24"/>
          <w:szCs w:val="24"/>
          <w:lang w:val="en-US" w:eastAsia="zh-CN"/>
        </w:rPr>
        <w:t>2具有良好的商业信誉和健全的财务会计制度，提供2023或2024年度经审计完整的财务审计报告，或其开标前6个月内银行出具的资信证明，或财政部门认可的政府采购专业担保机构出具的投标担保函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14:paraId="1DC1FD3A">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30477"/>
      <w:bookmarkStart w:id="21" w:name="_Toc5468"/>
      <w:bookmarkStart w:id="22" w:name="_Toc13233"/>
      <w:bookmarkStart w:id="23" w:name="_Toc13516"/>
      <w:bookmarkStart w:id="24" w:name="_Toc4788"/>
      <w:bookmarkStart w:id="25" w:name="_Toc7791"/>
      <w:bookmarkStart w:id="26" w:name="_Toc10778"/>
      <w:bookmarkStart w:id="27" w:name="_Toc13195"/>
      <w:bookmarkStart w:id="28" w:name="_Toc15615"/>
      <w:bookmarkStart w:id="29" w:name="_Toc31455"/>
      <w:bookmarkStart w:id="30" w:name="_Toc27097"/>
      <w:bookmarkStart w:id="31" w:name="_Toc20375"/>
      <w:bookmarkStart w:id="32" w:name="_Toc2910"/>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14:paraId="422966EA">
      <w:pPr>
        <w:spacing w:line="360" w:lineRule="auto"/>
        <w:rPr>
          <w:rFonts w:hint="eastAsia" w:ascii="仿宋" w:hAnsi="仿宋" w:eastAsia="仿宋" w:cs="仿宋"/>
          <w:spacing w:val="4"/>
          <w:sz w:val="24"/>
          <w:szCs w:val="24"/>
          <w:u w:val="single"/>
        </w:rPr>
      </w:pPr>
      <w:r>
        <w:rPr>
          <w:rFonts w:hint="eastAsia" w:ascii="仿宋" w:hAnsi="仿宋" w:cs="仿宋"/>
          <w:spacing w:val="4"/>
          <w:sz w:val="24"/>
          <w:szCs w:val="24"/>
          <w:u w:val="single"/>
          <w:lang w:val="en-US" w:eastAsia="zh-CN"/>
        </w:rPr>
        <w:t>(采购人名称)</w:t>
      </w:r>
      <w:r>
        <w:rPr>
          <w:rFonts w:hint="eastAsia" w:ascii="仿宋" w:hAnsi="仿宋" w:eastAsia="仿宋" w:cs="仿宋"/>
          <w:spacing w:val="4"/>
          <w:sz w:val="24"/>
          <w:szCs w:val="24"/>
          <w:u w:val="single"/>
        </w:rPr>
        <w:t>：</w:t>
      </w:r>
    </w:p>
    <w:p w14:paraId="64163D76">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71D3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837EC6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7E5FE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785E5E0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0A0538C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3E359D2E">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020C27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52B35B42">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318F9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314A747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3A8DE4A">
            <w:pPr>
              <w:spacing w:line="360" w:lineRule="auto"/>
              <w:jc w:val="center"/>
              <w:rPr>
                <w:rFonts w:hint="eastAsia" w:ascii="仿宋" w:hAnsi="仿宋" w:eastAsia="仿宋" w:cs="仿宋"/>
                <w:sz w:val="24"/>
                <w:szCs w:val="24"/>
              </w:rPr>
            </w:pPr>
          </w:p>
        </w:tc>
        <w:tc>
          <w:tcPr>
            <w:tcW w:w="2007" w:type="dxa"/>
            <w:noWrap w:val="0"/>
            <w:vAlign w:val="center"/>
          </w:tcPr>
          <w:p w14:paraId="6BC92D4E">
            <w:pPr>
              <w:spacing w:line="360" w:lineRule="auto"/>
              <w:jc w:val="center"/>
              <w:rPr>
                <w:rFonts w:hint="eastAsia" w:ascii="仿宋" w:hAnsi="仿宋" w:eastAsia="仿宋" w:cs="仿宋"/>
                <w:sz w:val="24"/>
                <w:szCs w:val="24"/>
              </w:rPr>
            </w:pPr>
          </w:p>
        </w:tc>
        <w:tc>
          <w:tcPr>
            <w:tcW w:w="753" w:type="dxa"/>
            <w:noWrap w:val="0"/>
            <w:vAlign w:val="center"/>
          </w:tcPr>
          <w:p w14:paraId="155B079C">
            <w:pPr>
              <w:spacing w:line="360" w:lineRule="auto"/>
              <w:jc w:val="center"/>
              <w:rPr>
                <w:rFonts w:hint="eastAsia" w:ascii="仿宋" w:hAnsi="仿宋" w:eastAsia="仿宋" w:cs="仿宋"/>
                <w:sz w:val="24"/>
                <w:szCs w:val="24"/>
              </w:rPr>
            </w:pPr>
          </w:p>
        </w:tc>
        <w:tc>
          <w:tcPr>
            <w:tcW w:w="2269" w:type="dxa"/>
            <w:noWrap w:val="0"/>
            <w:vAlign w:val="center"/>
          </w:tcPr>
          <w:p w14:paraId="3F016967">
            <w:pPr>
              <w:spacing w:line="360" w:lineRule="auto"/>
              <w:jc w:val="center"/>
              <w:rPr>
                <w:rFonts w:hint="eastAsia" w:ascii="仿宋" w:hAnsi="仿宋" w:eastAsia="仿宋" w:cs="仿宋"/>
                <w:sz w:val="24"/>
                <w:szCs w:val="24"/>
              </w:rPr>
            </w:pPr>
          </w:p>
        </w:tc>
      </w:tr>
      <w:tr w14:paraId="044D1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203BE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633BA6AF">
            <w:pPr>
              <w:spacing w:line="360" w:lineRule="auto"/>
              <w:jc w:val="center"/>
              <w:rPr>
                <w:rFonts w:hint="eastAsia" w:ascii="仿宋" w:hAnsi="仿宋" w:eastAsia="仿宋" w:cs="仿宋"/>
                <w:sz w:val="24"/>
                <w:szCs w:val="24"/>
              </w:rPr>
            </w:pPr>
          </w:p>
        </w:tc>
        <w:tc>
          <w:tcPr>
            <w:tcW w:w="2007" w:type="dxa"/>
            <w:noWrap w:val="0"/>
            <w:vAlign w:val="center"/>
          </w:tcPr>
          <w:p w14:paraId="1F1C1D79">
            <w:pPr>
              <w:spacing w:line="360" w:lineRule="auto"/>
              <w:jc w:val="center"/>
              <w:rPr>
                <w:rFonts w:hint="eastAsia" w:ascii="仿宋" w:hAnsi="仿宋" w:eastAsia="仿宋" w:cs="仿宋"/>
                <w:sz w:val="24"/>
                <w:szCs w:val="24"/>
              </w:rPr>
            </w:pPr>
          </w:p>
        </w:tc>
        <w:tc>
          <w:tcPr>
            <w:tcW w:w="753" w:type="dxa"/>
            <w:noWrap w:val="0"/>
            <w:vAlign w:val="center"/>
          </w:tcPr>
          <w:p w14:paraId="19B277EE">
            <w:pPr>
              <w:spacing w:line="360" w:lineRule="auto"/>
              <w:jc w:val="center"/>
              <w:rPr>
                <w:rFonts w:hint="eastAsia" w:ascii="仿宋" w:hAnsi="仿宋" w:eastAsia="仿宋" w:cs="仿宋"/>
                <w:sz w:val="24"/>
                <w:szCs w:val="24"/>
              </w:rPr>
            </w:pPr>
          </w:p>
        </w:tc>
        <w:tc>
          <w:tcPr>
            <w:tcW w:w="2269" w:type="dxa"/>
            <w:noWrap w:val="0"/>
            <w:vAlign w:val="center"/>
          </w:tcPr>
          <w:p w14:paraId="67B2B1CC">
            <w:pPr>
              <w:spacing w:line="360" w:lineRule="auto"/>
              <w:jc w:val="center"/>
              <w:rPr>
                <w:rFonts w:hint="eastAsia" w:ascii="仿宋" w:hAnsi="仿宋" w:eastAsia="仿宋" w:cs="仿宋"/>
                <w:sz w:val="24"/>
                <w:szCs w:val="24"/>
              </w:rPr>
            </w:pPr>
          </w:p>
        </w:tc>
      </w:tr>
      <w:tr w14:paraId="6AD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72A1485D">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7EB8E001">
            <w:pPr>
              <w:spacing w:line="360" w:lineRule="auto"/>
              <w:jc w:val="center"/>
              <w:rPr>
                <w:rFonts w:hint="eastAsia" w:ascii="仿宋" w:hAnsi="仿宋" w:eastAsia="仿宋" w:cs="仿宋"/>
                <w:sz w:val="24"/>
                <w:szCs w:val="24"/>
              </w:rPr>
            </w:pPr>
          </w:p>
        </w:tc>
        <w:tc>
          <w:tcPr>
            <w:tcW w:w="2007" w:type="dxa"/>
            <w:noWrap w:val="0"/>
            <w:vAlign w:val="center"/>
          </w:tcPr>
          <w:p w14:paraId="593CA55C">
            <w:pPr>
              <w:spacing w:line="360" w:lineRule="auto"/>
              <w:jc w:val="center"/>
              <w:rPr>
                <w:rFonts w:hint="eastAsia" w:ascii="仿宋" w:hAnsi="仿宋" w:eastAsia="仿宋" w:cs="仿宋"/>
                <w:sz w:val="24"/>
                <w:szCs w:val="24"/>
              </w:rPr>
            </w:pPr>
          </w:p>
        </w:tc>
        <w:tc>
          <w:tcPr>
            <w:tcW w:w="753" w:type="dxa"/>
            <w:noWrap w:val="0"/>
            <w:vAlign w:val="center"/>
          </w:tcPr>
          <w:p w14:paraId="2D427C4E">
            <w:pPr>
              <w:spacing w:line="360" w:lineRule="auto"/>
              <w:jc w:val="center"/>
              <w:rPr>
                <w:rFonts w:hint="eastAsia" w:ascii="仿宋" w:hAnsi="仿宋" w:eastAsia="仿宋" w:cs="仿宋"/>
                <w:sz w:val="24"/>
                <w:szCs w:val="24"/>
              </w:rPr>
            </w:pPr>
          </w:p>
        </w:tc>
        <w:tc>
          <w:tcPr>
            <w:tcW w:w="2269" w:type="dxa"/>
            <w:noWrap w:val="0"/>
            <w:vAlign w:val="center"/>
          </w:tcPr>
          <w:p w14:paraId="3125EB7D">
            <w:pPr>
              <w:spacing w:line="360" w:lineRule="auto"/>
              <w:jc w:val="center"/>
              <w:rPr>
                <w:rFonts w:hint="eastAsia" w:ascii="仿宋" w:hAnsi="仿宋" w:eastAsia="仿宋" w:cs="仿宋"/>
                <w:sz w:val="24"/>
                <w:szCs w:val="24"/>
              </w:rPr>
            </w:pPr>
          </w:p>
        </w:tc>
      </w:tr>
      <w:tr w14:paraId="57F0B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062447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6C554A90">
            <w:pPr>
              <w:spacing w:line="360" w:lineRule="auto"/>
              <w:jc w:val="center"/>
              <w:rPr>
                <w:rFonts w:hint="eastAsia" w:ascii="仿宋" w:hAnsi="仿宋" w:eastAsia="仿宋" w:cs="仿宋"/>
                <w:sz w:val="24"/>
                <w:szCs w:val="24"/>
              </w:rPr>
            </w:pPr>
          </w:p>
        </w:tc>
        <w:tc>
          <w:tcPr>
            <w:tcW w:w="2007" w:type="dxa"/>
            <w:noWrap w:val="0"/>
            <w:vAlign w:val="center"/>
          </w:tcPr>
          <w:p w14:paraId="05921825">
            <w:pPr>
              <w:spacing w:line="360" w:lineRule="auto"/>
              <w:jc w:val="center"/>
              <w:rPr>
                <w:rFonts w:hint="eastAsia" w:ascii="仿宋" w:hAnsi="仿宋" w:eastAsia="仿宋" w:cs="仿宋"/>
                <w:sz w:val="24"/>
                <w:szCs w:val="24"/>
              </w:rPr>
            </w:pPr>
          </w:p>
        </w:tc>
        <w:tc>
          <w:tcPr>
            <w:tcW w:w="753" w:type="dxa"/>
            <w:noWrap w:val="0"/>
            <w:vAlign w:val="center"/>
          </w:tcPr>
          <w:p w14:paraId="6A87BD79">
            <w:pPr>
              <w:spacing w:line="360" w:lineRule="auto"/>
              <w:jc w:val="center"/>
              <w:rPr>
                <w:rFonts w:hint="eastAsia" w:ascii="仿宋" w:hAnsi="仿宋" w:eastAsia="仿宋" w:cs="仿宋"/>
                <w:sz w:val="24"/>
                <w:szCs w:val="24"/>
              </w:rPr>
            </w:pPr>
          </w:p>
        </w:tc>
        <w:tc>
          <w:tcPr>
            <w:tcW w:w="2269" w:type="dxa"/>
            <w:noWrap w:val="0"/>
            <w:vAlign w:val="center"/>
          </w:tcPr>
          <w:p w14:paraId="1CA8B884">
            <w:pPr>
              <w:spacing w:line="360" w:lineRule="auto"/>
              <w:jc w:val="center"/>
              <w:rPr>
                <w:rFonts w:hint="eastAsia" w:ascii="仿宋" w:hAnsi="仿宋" w:eastAsia="仿宋" w:cs="仿宋"/>
                <w:sz w:val="24"/>
                <w:szCs w:val="24"/>
              </w:rPr>
            </w:pPr>
          </w:p>
        </w:tc>
      </w:tr>
    </w:tbl>
    <w:p w14:paraId="23A9D850">
      <w:pPr>
        <w:spacing w:before="312" w:beforeLines="100" w:after="156" w:afterLines="50" w:line="360" w:lineRule="auto"/>
        <w:ind w:firstLine="170"/>
        <w:rPr>
          <w:rFonts w:hint="eastAsia" w:ascii="仿宋" w:hAnsi="仿宋" w:eastAsia="仿宋" w:cs="仿宋"/>
          <w:spacing w:val="4"/>
          <w:sz w:val="24"/>
          <w:szCs w:val="24"/>
        </w:rPr>
      </w:pPr>
    </w:p>
    <w:p w14:paraId="73A88FD3">
      <w:pPr>
        <w:pStyle w:val="6"/>
        <w:spacing w:line="360" w:lineRule="auto"/>
        <w:rPr>
          <w:rFonts w:hint="eastAsia" w:ascii="仿宋" w:hAnsi="仿宋" w:eastAsia="仿宋" w:cs="仿宋"/>
          <w:b w:val="0"/>
          <w:bCs w:val="0"/>
          <w:spacing w:val="4"/>
          <w:sz w:val="24"/>
          <w:szCs w:val="24"/>
        </w:rPr>
      </w:pPr>
    </w:p>
    <w:p w14:paraId="6D3F2826">
      <w:pPr>
        <w:spacing w:line="360" w:lineRule="auto"/>
        <w:rPr>
          <w:rFonts w:hint="eastAsia" w:ascii="仿宋" w:hAnsi="仿宋" w:eastAsia="仿宋" w:cs="仿宋"/>
          <w:sz w:val="24"/>
          <w:szCs w:val="24"/>
        </w:rPr>
      </w:pPr>
    </w:p>
    <w:p w14:paraId="12FADF84">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769C0FD4">
      <w:pPr>
        <w:spacing w:line="360" w:lineRule="auto"/>
        <w:ind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12C86EE8">
      <w:pPr>
        <w:spacing w:line="360" w:lineRule="auto"/>
        <w:rPr>
          <w:rFonts w:hint="eastAsia" w:ascii="仿宋" w:hAnsi="仿宋" w:eastAsia="仿宋" w:cs="仿宋"/>
          <w:sz w:val="24"/>
          <w:szCs w:val="24"/>
        </w:rPr>
      </w:pPr>
    </w:p>
    <w:p w14:paraId="59D7821A">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eastAsia" w:ascii="仿宋" w:hAnsi="仿宋" w:eastAsia="仿宋" w:cs="仿宋"/>
          <w:sz w:val="24"/>
          <w:szCs w:val="24"/>
        </w:rPr>
        <w:t>有依法缴纳税收和社会保障资金的良好记录（提供开标前12个月内任一月份的社保和缴纳税收的证明，依法不需要缴纳社会保障资金、免税或无须缴纳税款的供应商，应提供相关证明文件)</w:t>
      </w:r>
    </w:p>
    <w:p w14:paraId="52DF2791">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14:paraId="2CEFA451">
      <w:pPr>
        <w:rPr>
          <w:rFonts w:hint="eastAsia" w:ascii="仿宋" w:hAnsi="仿宋" w:eastAsia="仿宋" w:cs="仿宋"/>
          <w:sz w:val="24"/>
          <w:szCs w:val="24"/>
        </w:rPr>
      </w:pPr>
    </w:p>
    <w:p w14:paraId="42A1A79E">
      <w:pPr>
        <w:rPr>
          <w:rFonts w:hint="eastAsia" w:ascii="仿宋" w:hAnsi="仿宋" w:eastAsia="仿宋" w:cs="仿宋"/>
          <w:sz w:val="24"/>
          <w:szCs w:val="24"/>
        </w:rPr>
      </w:pPr>
      <w:r>
        <w:rPr>
          <w:rFonts w:hint="eastAsia" w:ascii="仿宋" w:hAnsi="仿宋" w:eastAsia="仿宋" w:cs="仿宋"/>
          <w:sz w:val="24"/>
          <w:szCs w:val="24"/>
        </w:rPr>
        <w:t>说明：</w:t>
      </w:r>
    </w:p>
    <w:p w14:paraId="6694C589">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14:paraId="38B056CA">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3226"/>
      <w:bookmarkStart w:id="34" w:name="_Toc109542406"/>
      <w:r>
        <w:rPr>
          <w:rFonts w:hint="eastAsia" w:ascii="仿宋" w:hAnsi="仿宋" w:eastAsia="仿宋" w:cs="仿宋"/>
          <w:sz w:val="24"/>
          <w:szCs w:val="24"/>
        </w:rPr>
        <w:t>。</w:t>
      </w:r>
      <w:bookmarkEnd w:id="33"/>
      <w:bookmarkEnd w:id="34"/>
    </w:p>
    <w:p w14:paraId="7E50FF3E">
      <w:pPr>
        <w:rPr>
          <w:rFonts w:hint="eastAsia" w:ascii="仿宋" w:hAnsi="仿宋" w:eastAsia="仿宋" w:cs="仿宋"/>
          <w:sz w:val="24"/>
          <w:szCs w:val="24"/>
        </w:rPr>
      </w:pPr>
    </w:p>
    <w:p w14:paraId="3307660A">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14:paraId="6CFB2877">
      <w:pPr>
        <w:ind w:firstLine="480" w:firstLineChars="200"/>
        <w:jc w:val="center"/>
        <w:rPr>
          <w:rFonts w:hint="eastAsia" w:ascii="仿宋" w:hAnsi="仿宋" w:eastAsia="仿宋" w:cs="仿宋"/>
          <w:sz w:val="24"/>
          <w:szCs w:val="24"/>
        </w:rPr>
      </w:pPr>
    </w:p>
    <w:p w14:paraId="72A189BB">
      <w:pPr>
        <w:rPr>
          <w:rFonts w:hint="eastAsia" w:ascii="仿宋" w:hAnsi="仿宋" w:eastAsia="仿宋" w:cs="仿宋"/>
          <w:sz w:val="24"/>
          <w:szCs w:val="24"/>
        </w:rPr>
      </w:pPr>
      <w:r>
        <w:rPr>
          <w:rFonts w:hint="eastAsia" w:ascii="仿宋" w:hAnsi="仿宋" w:eastAsia="仿宋" w:cs="仿宋"/>
          <w:sz w:val="24"/>
          <w:szCs w:val="24"/>
        </w:rPr>
        <w:t>说明：</w:t>
      </w:r>
    </w:p>
    <w:p w14:paraId="4C3DC0D5">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14:paraId="7A53361B">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14:paraId="1648DEB7">
      <w:pPr>
        <w:rPr>
          <w:rFonts w:hint="eastAsia" w:ascii="仿宋" w:hAnsi="仿宋" w:eastAsia="仿宋" w:cs="仿宋"/>
          <w:sz w:val="24"/>
          <w:szCs w:val="24"/>
        </w:rPr>
      </w:pPr>
    </w:p>
    <w:p w14:paraId="4E454F03">
      <w:pPr>
        <w:rPr>
          <w:rFonts w:hint="eastAsia" w:ascii="仿宋" w:hAnsi="仿宋" w:eastAsia="仿宋" w:cs="仿宋"/>
          <w:sz w:val="24"/>
          <w:szCs w:val="24"/>
        </w:rPr>
      </w:pPr>
    </w:p>
    <w:p w14:paraId="3436B84A">
      <w:pPr>
        <w:rPr>
          <w:rFonts w:hint="eastAsia" w:ascii="仿宋" w:hAnsi="仿宋" w:eastAsia="仿宋" w:cs="仿宋"/>
          <w:sz w:val="24"/>
          <w:szCs w:val="24"/>
        </w:rPr>
      </w:pPr>
    </w:p>
    <w:p w14:paraId="74ACEDE6">
      <w:pPr>
        <w:rPr>
          <w:rFonts w:hint="eastAsia" w:ascii="仿宋" w:hAnsi="仿宋" w:eastAsia="仿宋" w:cs="仿宋"/>
          <w:sz w:val="24"/>
          <w:szCs w:val="24"/>
        </w:rPr>
      </w:pPr>
    </w:p>
    <w:p w14:paraId="73177797">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4842"/>
      <w:bookmarkStart w:id="36" w:name="_Toc28034"/>
      <w:bookmarkStart w:id="37" w:name="_Toc14483"/>
      <w:bookmarkStart w:id="38" w:name="_Toc28669"/>
      <w:bookmarkStart w:id="39" w:name="_Toc15791"/>
      <w:bookmarkStart w:id="40" w:name="_Toc29806"/>
      <w:bookmarkStart w:id="41" w:name="_Toc2140"/>
      <w:bookmarkStart w:id="42" w:name="_Toc7403"/>
      <w:bookmarkStart w:id="43" w:name="_Toc13583"/>
      <w:bookmarkStart w:id="44" w:name="_Toc19143"/>
      <w:bookmarkStart w:id="45" w:name="_Toc30844"/>
      <w:bookmarkStart w:id="46" w:name="_Toc26845"/>
      <w:bookmarkStart w:id="47" w:name="_Toc20233"/>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14:paraId="37D0EFFB">
      <w:pPr>
        <w:pStyle w:val="10"/>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lang w:val="en-US" w:eastAsia="zh-CN"/>
        </w:rPr>
        <w:t>采购人名称</w:t>
      </w:r>
      <w:r>
        <w:rPr>
          <w:rFonts w:hint="eastAsia" w:ascii="仿宋" w:hAnsi="仿宋" w:eastAsia="仿宋" w:cs="仿宋"/>
          <w:sz w:val="24"/>
          <w:szCs w:val="24"/>
          <w:u w:val="single"/>
          <w:shd w:val="clear" w:color="auto" w:fill="FFFFFF"/>
          <w:lang w:eastAsia="zh-CN"/>
        </w:rPr>
        <w:t>）</w:t>
      </w:r>
      <w:r>
        <w:rPr>
          <w:rFonts w:hint="eastAsia" w:ascii="仿宋" w:hAnsi="仿宋" w:eastAsia="仿宋" w:cs="仿宋"/>
          <w:sz w:val="24"/>
          <w:szCs w:val="24"/>
          <w:u w:val="single"/>
          <w:shd w:val="clear" w:color="auto" w:fill="FFFFFF"/>
        </w:rPr>
        <w:t>：</w:t>
      </w:r>
    </w:p>
    <w:p w14:paraId="4989273F">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14:paraId="4BC3A813">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365C852">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2E863E84">
      <w:pPr>
        <w:pStyle w:val="10"/>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78A38F4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2959135B">
      <w:pPr>
        <w:pStyle w:val="10"/>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14:paraId="7D91188B">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xml:space="preserve">特此声明。 </w:t>
      </w:r>
    </w:p>
    <w:p w14:paraId="4F62D5CE">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14:paraId="2478F028">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14:paraId="2BA302C9">
      <w:pPr>
        <w:spacing w:line="360" w:lineRule="auto"/>
        <w:rPr>
          <w:rFonts w:hint="eastAsia" w:ascii="仿宋" w:hAnsi="仿宋" w:eastAsia="仿宋" w:cs="仿宋"/>
          <w:sz w:val="24"/>
          <w:szCs w:val="24"/>
        </w:rPr>
      </w:pPr>
    </w:p>
    <w:p w14:paraId="166E8563">
      <w:pPr>
        <w:pStyle w:val="10"/>
        <w:wordWrap w:val="0"/>
        <w:spacing w:before="0" w:beforeAutospacing="0" w:after="0" w:afterAutospacing="0" w:line="360" w:lineRule="auto"/>
        <w:ind w:firstLine="420"/>
        <w:rPr>
          <w:rFonts w:hint="eastAsia" w:ascii="仿宋" w:hAnsi="仿宋" w:eastAsia="仿宋" w:cs="仿宋"/>
          <w:sz w:val="24"/>
          <w:szCs w:val="24"/>
          <w:highlight w:val="none"/>
          <w:shd w:val="clear" w:color="auto" w:fill="FFFFFF"/>
        </w:rPr>
      </w:pPr>
      <w:r>
        <w:rPr>
          <w:rFonts w:hint="eastAsia" w:ascii="仿宋" w:hAnsi="仿宋" w:eastAsia="仿宋" w:cs="仿宋"/>
          <w:color w:val="0D0D0D"/>
          <w:kern w:val="1"/>
          <w:sz w:val="24"/>
          <w:szCs w:val="24"/>
          <w:lang w:val="en-US" w:eastAsia="zh-CN"/>
        </w:rPr>
        <w:br w:type="page"/>
      </w:r>
    </w:p>
    <w:p w14:paraId="584A1CD9">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6</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14:paraId="4EAC0DD7">
      <w:pPr>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14:paraId="3E02081C">
      <w:pPr>
        <w:rPr>
          <w:rFonts w:hint="eastAsia" w:ascii="仿宋" w:hAnsi="仿宋" w:eastAsia="仿宋" w:cs="仿宋"/>
          <w:sz w:val="24"/>
          <w:szCs w:val="24"/>
        </w:rPr>
      </w:pPr>
    </w:p>
    <w:p w14:paraId="6C37F76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14:paraId="1FA53F2E">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建筑业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14:paraId="5C8CB034">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14:paraId="5A6BEEA5">
      <w:pPr>
        <w:widowControl/>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14:paraId="70B7C737">
      <w:pPr>
        <w:widowControl/>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14:paraId="67CF7853">
      <w:pPr>
        <w:widowControl/>
        <w:jc w:val="center"/>
        <w:rPr>
          <w:rFonts w:hint="eastAsia" w:ascii="仿宋" w:hAnsi="仿宋" w:eastAsia="仿宋" w:cs="仿宋"/>
          <w:kern w:val="0"/>
          <w:sz w:val="24"/>
          <w:szCs w:val="24"/>
          <w:lang w:bidi="ar"/>
        </w:rPr>
      </w:pPr>
    </w:p>
    <w:p w14:paraId="37850247">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14:paraId="62F6A94A">
      <w:pPr>
        <w:widowControl/>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14:paraId="6781C870">
      <w:pPr>
        <w:widowControl/>
        <w:ind w:firstLine="480" w:firstLineChars="200"/>
        <w:rPr>
          <w:rFonts w:hint="eastAsia" w:ascii="仿宋" w:hAnsi="仿宋" w:eastAsia="仿宋" w:cs="仿宋"/>
          <w:color w:val="000000"/>
          <w:kern w:val="0"/>
          <w:sz w:val="24"/>
          <w:szCs w:val="24"/>
        </w:rPr>
      </w:pPr>
    </w:p>
    <w:p w14:paraId="1BBB74DA">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14:paraId="148626D2">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sz w:val="24"/>
          <w:szCs w:val="24"/>
          <w:lang w:val="en-US" w:eastAsia="zh-CN"/>
        </w:rPr>
        <w:t>建筑业</w:t>
      </w:r>
      <w:r>
        <w:rPr>
          <w:rFonts w:hint="eastAsia" w:ascii="仿宋" w:hAnsi="仿宋" w:eastAsia="仿宋" w:cs="仿宋"/>
          <w:sz w:val="24"/>
          <w:szCs w:val="24"/>
        </w:rPr>
        <w:t>。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4A6F816">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48" w:name="_Toc2879"/>
      <w:bookmarkStart w:id="49" w:name="_Toc13186"/>
    </w:p>
    <w:bookmarkEnd w:id="48"/>
    <w:bookmarkEnd w:id="49"/>
    <w:p w14:paraId="314D5508">
      <w:pPr>
        <w:pStyle w:val="10"/>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37B917B">
      <w:pPr>
        <w:outlineLvl w:val="2"/>
        <w:rPr>
          <w:rFonts w:hint="eastAsia" w:ascii="仿宋" w:hAnsi="仿宋" w:eastAsia="仿宋" w:cs="仿宋"/>
          <w:b/>
          <w:bCs/>
          <w:color w:val="0D0D0D"/>
          <w:kern w:val="1"/>
          <w:sz w:val="24"/>
          <w:szCs w:val="24"/>
          <w:lang w:val="en-US" w:eastAsia="zh-CN" w:bidi="ar-SA"/>
        </w:rPr>
      </w:pPr>
      <w:bookmarkStart w:id="50" w:name="_Toc17352"/>
      <w:r>
        <w:rPr>
          <w:rFonts w:hint="eastAsia" w:ascii="仿宋" w:hAnsi="仿宋" w:eastAsia="仿宋" w:cs="仿宋"/>
          <w:b/>
          <w:bCs/>
          <w:color w:val="0D0D0D"/>
          <w:kern w:val="1"/>
          <w:sz w:val="24"/>
          <w:szCs w:val="24"/>
          <w:lang w:val="en-US" w:eastAsia="zh-CN" w:bidi="ar-SA"/>
        </w:rPr>
        <w:t>7供应商要求：供应商须具备地质灾害防治单位资质施工乙级以上资质（含乙级），并具备安全生产许可证；</w:t>
      </w:r>
    </w:p>
    <w:p w14:paraId="38BDCD52">
      <w:pPr>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br w:type="page"/>
      </w:r>
    </w:p>
    <w:p w14:paraId="613BD534">
      <w:pPr>
        <w:outlineLvl w:val="2"/>
        <w:rPr>
          <w:rFonts w:hint="eastAsia" w:ascii="仿宋" w:hAnsi="仿宋" w:eastAsia="仿宋" w:cs="仿宋"/>
          <w:b/>
          <w:bCs/>
          <w:color w:val="0D0D0D"/>
          <w:kern w:val="1"/>
          <w:sz w:val="24"/>
          <w:szCs w:val="24"/>
          <w:lang w:val="en-US" w:eastAsia="zh-CN" w:bidi="ar-SA"/>
        </w:rPr>
      </w:pPr>
      <w:r>
        <w:rPr>
          <w:rFonts w:hint="eastAsia" w:ascii="仿宋" w:hAnsi="仿宋" w:eastAsia="仿宋" w:cs="仿宋"/>
          <w:b/>
          <w:bCs/>
          <w:color w:val="0D0D0D"/>
          <w:kern w:val="1"/>
          <w:sz w:val="24"/>
          <w:szCs w:val="24"/>
          <w:lang w:val="en-US" w:eastAsia="zh-CN" w:bidi="ar-SA"/>
        </w:rPr>
        <w:t>8项目负责人要求：项目负责人须具备二级以上（含二级）水利水电工程专业或建筑工程专业注册建造师证书和项目经理安全生产考核合格证，且无在建工程（承诺书）</w:t>
      </w:r>
    </w:p>
    <w:bookmarkEnd w:id="50"/>
    <w:p w14:paraId="698E85AD"/>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2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 w:name="KSO_WPS_MARK_KEY" w:val="dd96e186-cd07-4e0e-aefe-f59263129cbc"/>
  </w:docVars>
  <w:rsids>
    <w:rsidRoot w:val="28E379B7"/>
    <w:rsid w:val="00450554"/>
    <w:rsid w:val="19452F1A"/>
    <w:rsid w:val="1B024889"/>
    <w:rsid w:val="25661DC7"/>
    <w:rsid w:val="28E379B7"/>
    <w:rsid w:val="30782FDA"/>
    <w:rsid w:val="481465C7"/>
    <w:rsid w:val="61E63B5E"/>
    <w:rsid w:val="6DA05A55"/>
    <w:rsid w:val="6E682A8F"/>
    <w:rsid w:val="7D0E54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5">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footer"/>
    <w:basedOn w:val="1"/>
    <w:next w:val="6"/>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10">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6"/>
    <w:next w:val="12"/>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2368</Words>
  <Characters>2419</Characters>
  <Lines>0</Lines>
  <Paragraphs>0</Paragraphs>
  <TotalTime>0</TotalTime>
  <ScaleCrop>false</ScaleCrop>
  <LinksUpToDate>false</LinksUpToDate>
  <CharactersWithSpaces>2854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2025-08-15T11:31:00Z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CE5EC91810A149C58095A7A56480B9C3_11</vt:lpwstr>
  </property>
  <property fmtid="{D5CDD505-2E9C-101B-9397-08002B2CF9AE}" pid="4" name="KSOTemplateDocerSaveRecord">
    <vt:lpwstr>eyJoZGlkIjoiNzg2NmMxNjQ3YjEwMWQ0NzY0ZGIyNjIyNDMzNDY3MjciLCJ1c2VySWQiOiI0ODM0NjExNDgifQ==</vt:lpwstr>
  </property>
</Properties>
</file>