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70CB930">
      <w:pPr>
        <w:spacing w:line="360" w:lineRule="auto"/>
        <w:ind w:firstLine="904" w:firstLineChars="250"/>
        <w:jc w:val="center"/>
        <w:outlineLvl w:val="0"/>
        <w:rPr>
          <w:rFonts w:hint="eastAsia" w:ascii="宋体" w:hAnsi="宋体" w:cs="宋体"/>
          <w:b/>
          <w:szCs w:val="22"/>
          <w:highlight w:val="none"/>
        </w:rPr>
      </w:pPr>
      <w:r>
        <w:rPr>
          <w:rFonts w:hint="eastAsia" w:ascii="宋体" w:hAnsi="宋体" w:cs="宋体"/>
          <w:b/>
          <w:sz w:val="36"/>
          <w:szCs w:val="22"/>
          <w:highlight w:val="none"/>
        </w:rPr>
        <w:t>合同条款（</w:t>
      </w:r>
      <w:r>
        <w:rPr>
          <w:rFonts w:hint="eastAsia" w:ascii="宋体" w:hAnsi="宋体" w:cs="宋体"/>
          <w:b/>
          <w:color w:val="FF0000"/>
          <w:sz w:val="36"/>
          <w:szCs w:val="22"/>
          <w:highlight w:val="none"/>
        </w:rPr>
        <w:t>参考</w:t>
      </w:r>
      <w:r>
        <w:rPr>
          <w:rFonts w:hint="eastAsia" w:ascii="宋体" w:hAnsi="宋体" w:cs="宋体"/>
          <w:b/>
          <w:sz w:val="36"/>
          <w:szCs w:val="22"/>
          <w:highlight w:val="none"/>
        </w:rPr>
        <w:t>）</w:t>
      </w:r>
    </w:p>
    <w:p w14:paraId="6D7F08A1">
      <w:pPr>
        <w:adjustRightInd w:val="0"/>
        <w:snapToGrid w:val="0"/>
        <w:spacing w:line="360" w:lineRule="auto"/>
        <w:ind w:firstLine="482" w:firstLineChars="200"/>
        <w:rPr>
          <w:rFonts w:hint="eastAsia" w:ascii="宋体" w:hAnsi="宋体" w:cs="宋体"/>
          <w:b/>
          <w:sz w:val="24"/>
          <w:szCs w:val="24"/>
          <w:highlight w:val="none"/>
        </w:rPr>
      </w:pPr>
    </w:p>
    <w:p w14:paraId="757795E6">
      <w:pPr>
        <w:adjustRightInd w:val="0"/>
        <w:snapToGrid w:val="0"/>
        <w:spacing w:line="360" w:lineRule="auto"/>
        <w:ind w:firstLine="480" w:firstLineChars="200"/>
        <w:rPr>
          <w:rFonts w:hint="eastAsia" w:ascii="宋体" w:hAnsi="宋体" w:eastAsia="宋体" w:cs="宋体"/>
          <w:bCs/>
          <w:sz w:val="24"/>
          <w:szCs w:val="24"/>
          <w:highlight w:val="none"/>
        </w:rPr>
      </w:pPr>
      <w:r>
        <w:rPr>
          <w:rFonts w:hint="eastAsia" w:ascii="宋体" w:hAnsi="宋体" w:eastAsia="宋体" w:cs="宋体"/>
          <w:bCs/>
          <w:sz w:val="24"/>
          <w:szCs w:val="24"/>
          <w:highlight w:val="none"/>
        </w:rPr>
        <w:t>甲    方：</w:t>
      </w:r>
    </w:p>
    <w:p w14:paraId="07BE7ED6">
      <w:pPr>
        <w:adjustRightInd w:val="0"/>
        <w:snapToGrid w:val="0"/>
        <w:spacing w:line="360" w:lineRule="auto"/>
        <w:ind w:firstLine="480" w:firstLineChars="200"/>
        <w:rPr>
          <w:rFonts w:hint="eastAsia" w:ascii="宋体" w:hAnsi="宋体" w:eastAsia="宋体" w:cs="宋体"/>
          <w:bCs/>
          <w:sz w:val="24"/>
          <w:szCs w:val="24"/>
          <w:highlight w:val="none"/>
        </w:rPr>
      </w:pPr>
      <w:r>
        <w:rPr>
          <w:rFonts w:hint="eastAsia" w:ascii="宋体" w:hAnsi="宋体" w:eastAsia="宋体" w:cs="宋体"/>
          <w:bCs/>
          <w:sz w:val="24"/>
          <w:szCs w:val="24"/>
          <w:highlight w:val="none"/>
        </w:rPr>
        <w:t>甲方地址：</w:t>
      </w:r>
    </w:p>
    <w:p w14:paraId="321488F9">
      <w:pPr>
        <w:adjustRightInd w:val="0"/>
        <w:snapToGrid w:val="0"/>
        <w:spacing w:line="360" w:lineRule="auto"/>
        <w:ind w:firstLine="480" w:firstLineChars="200"/>
        <w:rPr>
          <w:rFonts w:hint="eastAsia" w:ascii="宋体" w:hAnsi="宋体" w:eastAsia="宋体" w:cs="宋体"/>
          <w:bCs/>
          <w:sz w:val="24"/>
          <w:szCs w:val="24"/>
          <w:highlight w:val="none"/>
        </w:rPr>
      </w:pPr>
      <w:r>
        <w:rPr>
          <w:rFonts w:hint="eastAsia" w:ascii="宋体" w:hAnsi="宋体" w:eastAsia="宋体" w:cs="宋体"/>
          <w:bCs/>
          <w:sz w:val="24"/>
          <w:szCs w:val="24"/>
          <w:highlight w:val="none"/>
        </w:rPr>
        <w:t>乙    方：</w:t>
      </w:r>
    </w:p>
    <w:p w14:paraId="58D778E5">
      <w:pPr>
        <w:adjustRightInd w:val="0"/>
        <w:snapToGrid w:val="0"/>
        <w:spacing w:line="360" w:lineRule="auto"/>
        <w:ind w:firstLine="480" w:firstLineChars="200"/>
        <w:rPr>
          <w:rFonts w:hint="eastAsia" w:ascii="宋体" w:hAnsi="宋体" w:eastAsia="宋体" w:cs="宋体"/>
          <w:bCs/>
          <w:sz w:val="24"/>
          <w:szCs w:val="24"/>
          <w:highlight w:val="none"/>
        </w:rPr>
      </w:pPr>
      <w:r>
        <w:rPr>
          <w:rFonts w:hint="eastAsia" w:ascii="宋体" w:hAnsi="宋体" w:eastAsia="宋体" w:cs="宋体"/>
          <w:bCs/>
          <w:sz w:val="24"/>
          <w:szCs w:val="24"/>
          <w:highlight w:val="none"/>
        </w:rPr>
        <w:t>乙方地址：</w:t>
      </w:r>
    </w:p>
    <w:p w14:paraId="5D45CB1F">
      <w:pPr>
        <w:adjustRightInd w:val="0"/>
        <w:snapToGrid w:val="0"/>
        <w:spacing w:line="360" w:lineRule="auto"/>
        <w:ind w:firstLine="480" w:firstLineChars="200"/>
        <w:rPr>
          <w:rFonts w:hint="eastAsia" w:ascii="宋体" w:hAnsi="宋体" w:eastAsia="宋体" w:cs="宋体"/>
          <w:bCs/>
          <w:sz w:val="24"/>
          <w:szCs w:val="24"/>
          <w:highlight w:val="none"/>
        </w:rPr>
      </w:pPr>
      <w:r>
        <w:rPr>
          <w:rFonts w:hint="eastAsia" w:ascii="宋体" w:hAnsi="宋体" w:eastAsia="宋体" w:cs="宋体"/>
          <w:bCs/>
          <w:sz w:val="24"/>
          <w:szCs w:val="24"/>
          <w:highlight w:val="none"/>
        </w:rPr>
        <w:t>依照国家有关法律、行政法规，遵循平等、自愿、公平和诚实信用的原则，双方就</w:t>
      </w:r>
      <w:r>
        <w:rPr>
          <w:rFonts w:hint="eastAsia" w:ascii="宋体" w:hAnsi="宋体" w:eastAsia="宋体" w:cs="宋体"/>
          <w:bCs/>
          <w:sz w:val="24"/>
          <w:szCs w:val="24"/>
          <w:highlight w:val="none"/>
          <w:u w:val="single"/>
          <w:lang w:val="en-US" w:eastAsia="zh-CN"/>
        </w:rPr>
        <w:t xml:space="preserve">              </w:t>
      </w:r>
      <w:r>
        <w:rPr>
          <w:rFonts w:hint="eastAsia" w:ascii="宋体" w:hAnsi="宋体" w:cs="宋体"/>
          <w:bCs/>
          <w:sz w:val="24"/>
          <w:szCs w:val="24"/>
          <w:highlight w:val="none"/>
          <w:lang w:eastAsia="zh-CN"/>
        </w:rPr>
        <w:t>项目</w:t>
      </w:r>
      <w:r>
        <w:rPr>
          <w:rFonts w:hint="eastAsia" w:ascii="宋体" w:hAnsi="宋体" w:eastAsia="宋体" w:cs="宋体"/>
          <w:bCs/>
          <w:sz w:val="24"/>
          <w:szCs w:val="24"/>
          <w:highlight w:val="none"/>
        </w:rPr>
        <w:t>事项协商一致，同意按下述条款和条件签署本合同及附件。</w:t>
      </w:r>
    </w:p>
    <w:p w14:paraId="598E4D9C">
      <w:pPr>
        <w:adjustRightInd w:val="0"/>
        <w:snapToGrid w:val="0"/>
        <w:spacing w:line="360" w:lineRule="auto"/>
        <w:ind w:firstLine="480" w:firstLineChars="200"/>
        <w:rPr>
          <w:rFonts w:hint="eastAsia" w:ascii="宋体" w:hAnsi="宋体" w:eastAsia="宋体" w:cs="宋体"/>
          <w:bCs/>
          <w:sz w:val="24"/>
          <w:szCs w:val="24"/>
          <w:highlight w:val="none"/>
        </w:rPr>
      </w:pPr>
      <w:r>
        <w:rPr>
          <w:rFonts w:hint="eastAsia" w:ascii="宋体" w:hAnsi="宋体" w:eastAsia="宋体" w:cs="宋体"/>
          <w:bCs/>
          <w:sz w:val="24"/>
          <w:szCs w:val="24"/>
          <w:highlight w:val="none"/>
        </w:rPr>
        <w:t>1、《竞争性</w:t>
      </w:r>
      <w:r>
        <w:rPr>
          <w:rFonts w:hint="eastAsia" w:ascii="宋体" w:hAnsi="宋体" w:cs="宋体"/>
          <w:bCs/>
          <w:sz w:val="24"/>
          <w:szCs w:val="24"/>
          <w:highlight w:val="none"/>
          <w:lang w:eastAsia="zh-CN"/>
        </w:rPr>
        <w:t>谈判</w:t>
      </w:r>
      <w:r>
        <w:rPr>
          <w:rFonts w:hint="eastAsia" w:ascii="宋体" w:hAnsi="宋体" w:eastAsia="宋体" w:cs="宋体"/>
          <w:bCs/>
          <w:sz w:val="24"/>
          <w:szCs w:val="24"/>
          <w:highlight w:val="none"/>
        </w:rPr>
        <w:t>文件》（项目编号：）、《竞争性</w:t>
      </w:r>
      <w:r>
        <w:rPr>
          <w:rFonts w:hint="eastAsia" w:ascii="宋体" w:hAnsi="宋体" w:cs="宋体"/>
          <w:bCs/>
          <w:sz w:val="24"/>
          <w:szCs w:val="24"/>
          <w:highlight w:val="none"/>
          <w:lang w:eastAsia="zh-CN"/>
        </w:rPr>
        <w:t>谈判</w:t>
      </w:r>
      <w:r>
        <w:rPr>
          <w:rFonts w:hint="eastAsia" w:ascii="宋体" w:hAnsi="宋体" w:eastAsia="宋体" w:cs="宋体"/>
          <w:bCs/>
          <w:sz w:val="24"/>
          <w:szCs w:val="24"/>
          <w:highlight w:val="none"/>
        </w:rPr>
        <w:t>响应文件》及其澄清和确认文件均为本合同不可分割部分。</w:t>
      </w:r>
    </w:p>
    <w:p w14:paraId="43444259">
      <w:pPr>
        <w:adjustRightInd w:val="0"/>
        <w:snapToGrid w:val="0"/>
        <w:spacing w:line="360" w:lineRule="auto"/>
        <w:ind w:firstLine="480" w:firstLineChars="200"/>
        <w:rPr>
          <w:rFonts w:hint="eastAsia" w:ascii="宋体" w:hAnsi="宋体" w:eastAsia="宋体" w:cs="宋体"/>
          <w:bCs/>
          <w:sz w:val="24"/>
          <w:szCs w:val="24"/>
          <w:highlight w:val="none"/>
        </w:rPr>
      </w:pPr>
      <w:r>
        <w:rPr>
          <w:rFonts w:hint="eastAsia" w:ascii="宋体" w:hAnsi="宋体" w:eastAsia="宋体" w:cs="宋体"/>
          <w:bCs/>
          <w:sz w:val="24"/>
          <w:szCs w:val="24"/>
          <w:highlight w:val="none"/>
        </w:rPr>
        <w:t>2、本合同内容受中华人民共和国的法律保护和制约。</w:t>
      </w:r>
    </w:p>
    <w:p w14:paraId="2CB220A8">
      <w:pPr>
        <w:adjustRightInd w:val="0"/>
        <w:snapToGrid w:val="0"/>
        <w:spacing w:line="360" w:lineRule="auto"/>
        <w:ind w:firstLine="480" w:firstLineChars="200"/>
        <w:rPr>
          <w:rFonts w:hint="eastAsia" w:ascii="宋体" w:hAnsi="宋体" w:eastAsia="宋体" w:cs="宋体"/>
          <w:bCs/>
          <w:sz w:val="24"/>
          <w:szCs w:val="24"/>
          <w:highlight w:val="none"/>
        </w:rPr>
      </w:pPr>
      <w:r>
        <w:rPr>
          <w:rFonts w:hint="eastAsia" w:ascii="宋体" w:hAnsi="宋体" w:eastAsia="宋体" w:cs="宋体"/>
          <w:bCs/>
          <w:sz w:val="24"/>
          <w:szCs w:val="24"/>
          <w:highlight w:val="none"/>
        </w:rPr>
        <w:t>3、本合同项下全部内容均不得转让、不得分包、不得挂靠，禁止挂牌企业参与竞争，若甲方在合同签订后发现乙方有上述行为的，将取消其中标资格，且不支付任何费用。</w:t>
      </w:r>
    </w:p>
    <w:p w14:paraId="489B9C15">
      <w:pPr>
        <w:adjustRightInd w:val="0"/>
        <w:snapToGrid w:val="0"/>
        <w:spacing w:line="360" w:lineRule="auto"/>
        <w:ind w:firstLine="480" w:firstLineChars="200"/>
        <w:rPr>
          <w:rFonts w:hint="eastAsia" w:ascii="宋体" w:hAnsi="宋体" w:eastAsia="宋体" w:cs="宋体"/>
          <w:bCs/>
          <w:sz w:val="24"/>
          <w:szCs w:val="24"/>
          <w:highlight w:val="none"/>
        </w:rPr>
      </w:pPr>
      <w:r>
        <w:rPr>
          <w:rFonts w:hint="eastAsia" w:ascii="宋体" w:hAnsi="宋体" w:eastAsia="宋体" w:cs="宋体"/>
          <w:bCs/>
          <w:sz w:val="24"/>
          <w:szCs w:val="24"/>
          <w:highlight w:val="none"/>
        </w:rPr>
        <w:t>4、乙方必须遵守国家相关部门的现行有关规定，保证提供的货物全部内容严格按照中标通知书的要求和响应文件的承诺执行。</w:t>
      </w:r>
    </w:p>
    <w:p w14:paraId="14BF9D4F">
      <w:pPr>
        <w:adjustRightInd w:val="0"/>
        <w:snapToGrid w:val="0"/>
        <w:spacing w:line="360" w:lineRule="auto"/>
        <w:ind w:firstLine="480" w:firstLineChars="200"/>
        <w:rPr>
          <w:rFonts w:hint="eastAsia" w:ascii="宋体" w:hAnsi="宋体" w:eastAsia="宋体" w:cs="宋体"/>
          <w:bCs/>
          <w:sz w:val="24"/>
          <w:szCs w:val="24"/>
          <w:highlight w:val="none"/>
        </w:rPr>
      </w:pPr>
      <w:r>
        <w:rPr>
          <w:rFonts w:hint="eastAsia" w:ascii="宋体" w:hAnsi="宋体" w:eastAsia="宋体" w:cs="宋体"/>
          <w:bCs/>
          <w:sz w:val="24"/>
          <w:szCs w:val="24"/>
          <w:highlight w:val="none"/>
        </w:rPr>
        <w:t>第一条  合同范围</w:t>
      </w:r>
    </w:p>
    <w:p w14:paraId="1602A4B6">
      <w:pPr>
        <w:adjustRightInd w:val="0"/>
        <w:snapToGrid w:val="0"/>
        <w:spacing w:line="360" w:lineRule="auto"/>
        <w:ind w:firstLine="480" w:firstLineChars="200"/>
        <w:rPr>
          <w:rFonts w:hint="eastAsia" w:ascii="宋体" w:hAnsi="宋体" w:eastAsia="宋体" w:cs="宋体"/>
          <w:bCs/>
          <w:sz w:val="24"/>
          <w:szCs w:val="24"/>
          <w:highlight w:val="none"/>
        </w:rPr>
      </w:pPr>
      <w:r>
        <w:rPr>
          <w:rFonts w:hint="eastAsia" w:ascii="宋体" w:hAnsi="宋体" w:eastAsia="宋体" w:cs="宋体"/>
          <w:bCs/>
          <w:sz w:val="24"/>
          <w:szCs w:val="24"/>
          <w:highlight w:val="none"/>
        </w:rPr>
        <w:t>1、乙方向甲方提供竞争性</w:t>
      </w:r>
      <w:r>
        <w:rPr>
          <w:rFonts w:hint="eastAsia" w:ascii="宋体" w:hAnsi="宋体" w:cs="宋体"/>
          <w:bCs/>
          <w:sz w:val="24"/>
          <w:szCs w:val="24"/>
          <w:highlight w:val="none"/>
          <w:lang w:eastAsia="zh-CN"/>
        </w:rPr>
        <w:t>谈判</w:t>
      </w:r>
      <w:r>
        <w:rPr>
          <w:rFonts w:hint="eastAsia" w:ascii="宋体" w:hAnsi="宋体" w:eastAsia="宋体" w:cs="宋体"/>
          <w:bCs/>
          <w:sz w:val="24"/>
          <w:szCs w:val="24"/>
          <w:highlight w:val="none"/>
        </w:rPr>
        <w:t>响应文件中规定的货物及服务内容。</w:t>
      </w:r>
    </w:p>
    <w:p w14:paraId="7E7598C1">
      <w:pPr>
        <w:adjustRightInd w:val="0"/>
        <w:snapToGrid w:val="0"/>
        <w:spacing w:line="360" w:lineRule="auto"/>
        <w:ind w:firstLine="480" w:firstLineChars="200"/>
        <w:rPr>
          <w:rFonts w:hint="eastAsia" w:ascii="宋体" w:hAnsi="宋体" w:eastAsia="宋体" w:cs="宋体"/>
          <w:bCs/>
          <w:sz w:val="24"/>
          <w:szCs w:val="24"/>
        </w:rPr>
      </w:pPr>
      <w:r>
        <w:rPr>
          <w:rFonts w:hint="eastAsia" w:ascii="宋体" w:hAnsi="宋体" w:eastAsia="宋体" w:cs="宋体"/>
          <w:bCs/>
          <w:sz w:val="24"/>
          <w:szCs w:val="24"/>
          <w:highlight w:val="none"/>
        </w:rPr>
        <w:t>2、乙方所提供货物的品名数量规格等应与竞争性</w:t>
      </w:r>
      <w:r>
        <w:rPr>
          <w:rFonts w:hint="eastAsia" w:ascii="宋体" w:hAnsi="宋体" w:cs="宋体"/>
          <w:bCs/>
          <w:sz w:val="24"/>
          <w:szCs w:val="24"/>
          <w:highlight w:val="none"/>
          <w:lang w:eastAsia="zh-CN"/>
        </w:rPr>
        <w:t>谈判</w:t>
      </w:r>
      <w:r>
        <w:rPr>
          <w:rFonts w:hint="eastAsia" w:ascii="宋体" w:hAnsi="宋体" w:eastAsia="宋体" w:cs="宋体"/>
          <w:bCs/>
          <w:sz w:val="24"/>
          <w:szCs w:val="24"/>
          <w:highlight w:val="none"/>
        </w:rPr>
        <w:t>响</w:t>
      </w:r>
      <w:r>
        <w:rPr>
          <w:rFonts w:hint="eastAsia" w:ascii="宋体" w:hAnsi="宋体" w:eastAsia="宋体" w:cs="宋体"/>
          <w:bCs/>
          <w:sz w:val="24"/>
          <w:szCs w:val="24"/>
        </w:rPr>
        <w:t>应文件一致。（后附清单）</w:t>
      </w:r>
    </w:p>
    <w:p w14:paraId="00721EA0">
      <w:pPr>
        <w:adjustRightInd w:val="0"/>
        <w:snapToGrid w:val="0"/>
        <w:spacing w:line="360" w:lineRule="auto"/>
        <w:ind w:firstLine="480" w:firstLineChars="200"/>
        <w:rPr>
          <w:rFonts w:hint="eastAsia" w:ascii="宋体" w:hAnsi="宋体" w:eastAsia="宋体" w:cs="宋体"/>
          <w:bCs/>
          <w:sz w:val="24"/>
          <w:szCs w:val="24"/>
        </w:rPr>
      </w:pPr>
      <w:r>
        <w:rPr>
          <w:rFonts w:hint="eastAsia" w:ascii="宋体" w:hAnsi="宋体" w:eastAsia="宋体" w:cs="宋体"/>
          <w:bCs/>
          <w:sz w:val="24"/>
          <w:szCs w:val="24"/>
        </w:rPr>
        <w:t>第二条  配送地点、配送周期</w:t>
      </w:r>
    </w:p>
    <w:p w14:paraId="350D9301">
      <w:pPr>
        <w:adjustRightInd w:val="0"/>
        <w:snapToGrid w:val="0"/>
        <w:spacing w:line="360" w:lineRule="auto"/>
        <w:ind w:firstLine="480" w:firstLineChars="200"/>
        <w:rPr>
          <w:rFonts w:hint="eastAsia" w:ascii="宋体" w:hAnsi="宋体" w:eastAsia="宋体" w:cs="宋体"/>
          <w:bCs/>
          <w:sz w:val="24"/>
          <w:szCs w:val="24"/>
        </w:rPr>
      </w:pPr>
      <w:r>
        <w:rPr>
          <w:rFonts w:hint="eastAsia" w:ascii="宋体" w:hAnsi="宋体" w:eastAsia="宋体" w:cs="宋体"/>
          <w:bCs/>
          <w:sz w:val="24"/>
          <w:szCs w:val="24"/>
        </w:rPr>
        <w:t>配送地点：甲方指定地点</w:t>
      </w:r>
    </w:p>
    <w:p w14:paraId="64CD4DA7">
      <w:pPr>
        <w:adjustRightInd w:val="0"/>
        <w:snapToGrid w:val="0"/>
        <w:spacing w:line="360" w:lineRule="auto"/>
        <w:ind w:firstLine="480" w:firstLineChars="200"/>
        <w:rPr>
          <w:rFonts w:hint="eastAsia" w:ascii="宋体" w:hAnsi="宋体" w:eastAsia="宋体" w:cs="宋体"/>
          <w:bCs/>
          <w:sz w:val="24"/>
          <w:szCs w:val="24"/>
        </w:rPr>
      </w:pPr>
      <w:r>
        <w:rPr>
          <w:rFonts w:hint="eastAsia" w:ascii="宋体" w:hAnsi="宋体" w:eastAsia="宋体" w:cs="宋体"/>
          <w:bCs/>
          <w:sz w:val="24"/>
          <w:szCs w:val="24"/>
        </w:rPr>
        <w:t>配送周期：</w:t>
      </w:r>
    </w:p>
    <w:p w14:paraId="3328DF2A">
      <w:pPr>
        <w:adjustRightInd w:val="0"/>
        <w:snapToGrid w:val="0"/>
        <w:spacing w:line="360" w:lineRule="auto"/>
        <w:ind w:firstLine="480" w:firstLineChars="200"/>
        <w:rPr>
          <w:rFonts w:hint="eastAsia" w:ascii="宋体" w:hAnsi="宋体" w:eastAsia="宋体" w:cs="宋体"/>
          <w:bCs/>
          <w:sz w:val="24"/>
          <w:szCs w:val="24"/>
        </w:rPr>
      </w:pPr>
      <w:r>
        <w:rPr>
          <w:rFonts w:hint="eastAsia" w:ascii="宋体" w:hAnsi="宋体" w:eastAsia="宋体" w:cs="宋体"/>
          <w:bCs/>
          <w:sz w:val="24"/>
          <w:szCs w:val="24"/>
        </w:rPr>
        <w:t>第三条  价格</w:t>
      </w:r>
    </w:p>
    <w:tbl>
      <w:tblPr>
        <w:tblStyle w:val="2"/>
        <w:tblW w:w="95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14"/>
        <w:gridCol w:w="1852"/>
        <w:gridCol w:w="1583"/>
        <w:gridCol w:w="1909"/>
        <w:gridCol w:w="1258"/>
        <w:gridCol w:w="1584"/>
      </w:tblGrid>
      <w:tr w14:paraId="3DA742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8" w:hRule="atLeast"/>
          <w:jc w:val="center"/>
        </w:trPr>
        <w:tc>
          <w:tcPr>
            <w:tcW w:w="1314" w:type="dxa"/>
            <w:tcBorders>
              <w:top w:val="single" w:color="auto" w:sz="4" w:space="0"/>
              <w:left w:val="single" w:color="auto" w:sz="4" w:space="0"/>
              <w:bottom w:val="single" w:color="auto" w:sz="4" w:space="0"/>
              <w:right w:val="single" w:color="auto" w:sz="4" w:space="0"/>
            </w:tcBorders>
            <w:vAlign w:val="center"/>
          </w:tcPr>
          <w:p w14:paraId="4206282C">
            <w:pPr>
              <w:adjustRightInd w:val="0"/>
              <w:snapToGrid w:val="0"/>
              <w:spacing w:line="360" w:lineRule="auto"/>
              <w:jc w:val="center"/>
              <w:rPr>
                <w:rFonts w:hint="eastAsia" w:ascii="宋体" w:hAnsi="宋体" w:eastAsia="宋体" w:cs="宋体"/>
                <w:bCs/>
                <w:sz w:val="24"/>
                <w:szCs w:val="24"/>
              </w:rPr>
            </w:pPr>
            <w:r>
              <w:rPr>
                <w:rFonts w:hint="eastAsia" w:ascii="宋体" w:hAnsi="宋体" w:eastAsia="宋体" w:cs="宋体"/>
                <w:bCs/>
                <w:sz w:val="24"/>
                <w:szCs w:val="24"/>
              </w:rPr>
              <w:t>产品</w:t>
            </w:r>
          </w:p>
        </w:tc>
        <w:tc>
          <w:tcPr>
            <w:tcW w:w="1852" w:type="dxa"/>
            <w:tcBorders>
              <w:top w:val="single" w:color="auto" w:sz="4" w:space="0"/>
              <w:left w:val="single" w:color="auto" w:sz="4" w:space="0"/>
              <w:bottom w:val="single" w:color="auto" w:sz="4" w:space="0"/>
              <w:right w:val="single" w:color="auto" w:sz="4" w:space="0"/>
            </w:tcBorders>
            <w:vAlign w:val="center"/>
          </w:tcPr>
          <w:p w14:paraId="013FF8A1">
            <w:pPr>
              <w:adjustRightInd w:val="0"/>
              <w:snapToGrid w:val="0"/>
              <w:spacing w:line="360" w:lineRule="auto"/>
              <w:jc w:val="center"/>
              <w:rPr>
                <w:rFonts w:hint="eastAsia" w:ascii="宋体" w:hAnsi="宋体" w:eastAsia="宋体" w:cs="宋体"/>
                <w:bCs/>
                <w:sz w:val="24"/>
                <w:szCs w:val="24"/>
              </w:rPr>
            </w:pPr>
            <w:r>
              <w:rPr>
                <w:rFonts w:hint="eastAsia" w:ascii="宋体" w:hAnsi="宋体" w:eastAsia="宋体" w:cs="宋体"/>
                <w:bCs/>
                <w:sz w:val="24"/>
                <w:szCs w:val="24"/>
              </w:rPr>
              <w:t>标准要求</w:t>
            </w:r>
          </w:p>
        </w:tc>
        <w:tc>
          <w:tcPr>
            <w:tcW w:w="1583" w:type="dxa"/>
            <w:tcBorders>
              <w:top w:val="single" w:color="auto" w:sz="4" w:space="0"/>
              <w:left w:val="single" w:color="auto" w:sz="4" w:space="0"/>
              <w:bottom w:val="single" w:color="auto" w:sz="4" w:space="0"/>
              <w:right w:val="single" w:color="auto" w:sz="4" w:space="0"/>
            </w:tcBorders>
            <w:vAlign w:val="center"/>
          </w:tcPr>
          <w:p w14:paraId="0E31E766">
            <w:pPr>
              <w:adjustRightInd w:val="0"/>
              <w:snapToGrid w:val="0"/>
              <w:spacing w:line="360" w:lineRule="auto"/>
              <w:jc w:val="center"/>
              <w:rPr>
                <w:rFonts w:hint="eastAsia" w:ascii="宋体" w:hAnsi="宋体" w:eastAsia="宋体" w:cs="宋体"/>
                <w:bCs/>
                <w:sz w:val="24"/>
                <w:szCs w:val="24"/>
              </w:rPr>
            </w:pPr>
            <w:r>
              <w:rPr>
                <w:rFonts w:hint="eastAsia" w:ascii="宋体" w:hAnsi="宋体" w:eastAsia="宋体" w:cs="宋体"/>
                <w:bCs/>
                <w:sz w:val="24"/>
                <w:szCs w:val="24"/>
              </w:rPr>
              <w:t>产品品牌</w:t>
            </w:r>
          </w:p>
        </w:tc>
        <w:tc>
          <w:tcPr>
            <w:tcW w:w="1909" w:type="dxa"/>
            <w:tcBorders>
              <w:top w:val="single" w:color="auto" w:sz="4" w:space="0"/>
              <w:left w:val="single" w:color="auto" w:sz="4" w:space="0"/>
              <w:bottom w:val="single" w:color="auto" w:sz="4" w:space="0"/>
              <w:right w:val="single" w:color="auto" w:sz="4" w:space="0"/>
            </w:tcBorders>
            <w:vAlign w:val="center"/>
          </w:tcPr>
          <w:p w14:paraId="2B86DC4B">
            <w:pPr>
              <w:adjustRightInd w:val="0"/>
              <w:snapToGrid w:val="0"/>
              <w:spacing w:line="360" w:lineRule="auto"/>
              <w:jc w:val="center"/>
              <w:rPr>
                <w:rFonts w:hint="eastAsia" w:ascii="宋体" w:hAnsi="宋体" w:eastAsia="宋体" w:cs="宋体"/>
                <w:bCs/>
                <w:sz w:val="24"/>
                <w:szCs w:val="24"/>
              </w:rPr>
            </w:pPr>
            <w:r>
              <w:rPr>
                <w:rFonts w:hint="eastAsia" w:ascii="宋体" w:hAnsi="宋体" w:eastAsia="宋体" w:cs="宋体"/>
                <w:bCs/>
                <w:sz w:val="24"/>
                <w:szCs w:val="24"/>
              </w:rPr>
              <w:t>规格</w:t>
            </w:r>
          </w:p>
        </w:tc>
        <w:tc>
          <w:tcPr>
            <w:tcW w:w="1258" w:type="dxa"/>
            <w:tcBorders>
              <w:top w:val="single" w:color="auto" w:sz="4" w:space="0"/>
              <w:left w:val="single" w:color="auto" w:sz="4" w:space="0"/>
              <w:bottom w:val="single" w:color="auto" w:sz="4" w:space="0"/>
              <w:right w:val="single" w:color="auto" w:sz="4" w:space="0"/>
            </w:tcBorders>
            <w:vAlign w:val="center"/>
          </w:tcPr>
          <w:p w14:paraId="6FBDFCFA">
            <w:pPr>
              <w:adjustRightInd w:val="0"/>
              <w:snapToGrid w:val="0"/>
              <w:spacing w:line="360" w:lineRule="auto"/>
              <w:jc w:val="center"/>
              <w:rPr>
                <w:rFonts w:hint="eastAsia" w:ascii="宋体" w:hAnsi="宋体" w:eastAsia="宋体" w:cs="宋体"/>
                <w:bCs/>
                <w:sz w:val="24"/>
                <w:szCs w:val="24"/>
              </w:rPr>
            </w:pPr>
            <w:r>
              <w:rPr>
                <w:rFonts w:hint="eastAsia" w:ascii="宋体" w:hAnsi="宋体" w:eastAsia="宋体" w:cs="宋体"/>
                <w:bCs/>
                <w:sz w:val="24"/>
                <w:szCs w:val="24"/>
              </w:rPr>
              <w:t>保质期</w:t>
            </w:r>
          </w:p>
        </w:tc>
        <w:tc>
          <w:tcPr>
            <w:tcW w:w="1584" w:type="dxa"/>
            <w:tcBorders>
              <w:top w:val="single" w:color="auto" w:sz="4" w:space="0"/>
              <w:left w:val="single" w:color="auto" w:sz="4" w:space="0"/>
              <w:bottom w:val="single" w:color="auto" w:sz="4" w:space="0"/>
              <w:right w:val="single" w:color="auto" w:sz="4" w:space="0"/>
            </w:tcBorders>
            <w:vAlign w:val="center"/>
          </w:tcPr>
          <w:p w14:paraId="669EEF34">
            <w:pPr>
              <w:adjustRightInd w:val="0"/>
              <w:snapToGrid w:val="0"/>
              <w:spacing w:line="360" w:lineRule="auto"/>
              <w:jc w:val="center"/>
              <w:rPr>
                <w:rFonts w:hint="eastAsia" w:ascii="宋体" w:hAnsi="宋体" w:eastAsia="宋体" w:cs="宋体"/>
                <w:bCs/>
                <w:sz w:val="24"/>
                <w:szCs w:val="24"/>
              </w:rPr>
            </w:pPr>
            <w:r>
              <w:rPr>
                <w:rFonts w:hint="eastAsia" w:ascii="宋体" w:hAnsi="宋体" w:eastAsia="宋体" w:cs="宋体"/>
                <w:bCs/>
                <w:sz w:val="24"/>
                <w:szCs w:val="24"/>
              </w:rPr>
              <w:t>中标价</w:t>
            </w:r>
          </w:p>
          <w:p w14:paraId="7A4B812B">
            <w:pPr>
              <w:adjustRightInd w:val="0"/>
              <w:snapToGrid w:val="0"/>
              <w:spacing w:line="360" w:lineRule="auto"/>
              <w:jc w:val="center"/>
              <w:rPr>
                <w:rFonts w:hint="eastAsia" w:ascii="宋体" w:hAnsi="宋体" w:eastAsia="宋体" w:cs="宋体"/>
                <w:bCs/>
                <w:sz w:val="24"/>
                <w:szCs w:val="24"/>
              </w:rPr>
            </w:pPr>
            <w:r>
              <w:rPr>
                <w:rFonts w:hint="eastAsia" w:ascii="宋体" w:hAnsi="宋体" w:eastAsia="宋体" w:cs="Times New Roman"/>
                <w:sz w:val="24"/>
                <w:szCs w:val="24"/>
              </w:rPr>
              <w:t>（折扣率%）</w:t>
            </w:r>
          </w:p>
        </w:tc>
      </w:tr>
      <w:tr w14:paraId="4745D3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0" w:hRule="atLeast"/>
          <w:jc w:val="center"/>
        </w:trPr>
        <w:tc>
          <w:tcPr>
            <w:tcW w:w="1314" w:type="dxa"/>
            <w:tcBorders>
              <w:top w:val="single" w:color="auto" w:sz="4" w:space="0"/>
              <w:left w:val="single" w:color="auto" w:sz="4" w:space="0"/>
              <w:bottom w:val="single" w:color="auto" w:sz="4" w:space="0"/>
              <w:right w:val="single" w:color="auto" w:sz="4" w:space="0"/>
            </w:tcBorders>
            <w:vAlign w:val="center"/>
          </w:tcPr>
          <w:p w14:paraId="0FD9A433">
            <w:pPr>
              <w:widowControl w:val="0"/>
              <w:spacing w:before="48" w:line="251" w:lineRule="auto"/>
              <w:jc w:val="center"/>
              <w:rPr>
                <w:rFonts w:hint="eastAsia" w:ascii="宋体" w:hAnsi="宋体" w:eastAsia="宋体" w:cs="宋体"/>
                <w:bCs/>
                <w:kern w:val="2"/>
                <w:sz w:val="24"/>
                <w:szCs w:val="24"/>
                <w:lang w:val="en-US" w:eastAsia="en-US" w:bidi="ar-SA"/>
              </w:rPr>
            </w:pPr>
            <w:r>
              <w:rPr>
                <w:rFonts w:hint="eastAsia" w:ascii="宋体" w:hAnsi="宋体" w:eastAsia="宋体" w:cs="宋体"/>
                <w:bCs/>
                <w:kern w:val="2"/>
                <w:sz w:val="24"/>
                <w:szCs w:val="24"/>
                <w:lang w:val="en-US" w:eastAsia="zh-CN" w:bidi="ar-SA"/>
              </w:rPr>
              <w:t>干货</w:t>
            </w:r>
          </w:p>
        </w:tc>
        <w:tc>
          <w:tcPr>
            <w:tcW w:w="1852" w:type="dxa"/>
            <w:tcBorders>
              <w:top w:val="single" w:color="auto" w:sz="4" w:space="0"/>
              <w:left w:val="single" w:color="auto" w:sz="4" w:space="0"/>
              <w:bottom w:val="single" w:color="auto" w:sz="4" w:space="0"/>
              <w:right w:val="single" w:color="auto" w:sz="4" w:space="0"/>
            </w:tcBorders>
            <w:vAlign w:val="center"/>
          </w:tcPr>
          <w:p w14:paraId="41E123CD">
            <w:pPr>
              <w:adjustRightInd w:val="0"/>
              <w:snapToGrid w:val="0"/>
              <w:spacing w:line="360" w:lineRule="auto"/>
              <w:jc w:val="center"/>
              <w:rPr>
                <w:rFonts w:hint="eastAsia" w:ascii="宋体" w:hAnsi="宋体" w:eastAsia="宋体" w:cs="宋体"/>
                <w:bCs/>
                <w:sz w:val="24"/>
                <w:szCs w:val="24"/>
              </w:rPr>
            </w:pPr>
          </w:p>
        </w:tc>
        <w:tc>
          <w:tcPr>
            <w:tcW w:w="1583" w:type="dxa"/>
            <w:tcBorders>
              <w:top w:val="single" w:color="auto" w:sz="4" w:space="0"/>
              <w:left w:val="single" w:color="auto" w:sz="4" w:space="0"/>
              <w:bottom w:val="single" w:color="auto" w:sz="4" w:space="0"/>
              <w:right w:val="single" w:color="auto" w:sz="4" w:space="0"/>
            </w:tcBorders>
            <w:vAlign w:val="center"/>
          </w:tcPr>
          <w:p w14:paraId="75274BDB">
            <w:pPr>
              <w:adjustRightInd w:val="0"/>
              <w:snapToGrid w:val="0"/>
              <w:spacing w:line="360" w:lineRule="auto"/>
              <w:jc w:val="center"/>
              <w:rPr>
                <w:rFonts w:hint="eastAsia" w:ascii="宋体" w:hAnsi="宋体" w:eastAsia="宋体" w:cs="宋体"/>
                <w:bCs/>
                <w:sz w:val="24"/>
                <w:szCs w:val="24"/>
              </w:rPr>
            </w:pPr>
          </w:p>
        </w:tc>
        <w:tc>
          <w:tcPr>
            <w:tcW w:w="1909" w:type="dxa"/>
            <w:tcBorders>
              <w:top w:val="single" w:color="auto" w:sz="4" w:space="0"/>
              <w:left w:val="single" w:color="auto" w:sz="4" w:space="0"/>
              <w:bottom w:val="single" w:color="auto" w:sz="4" w:space="0"/>
              <w:right w:val="single" w:color="auto" w:sz="4" w:space="0"/>
            </w:tcBorders>
            <w:vAlign w:val="center"/>
          </w:tcPr>
          <w:p w14:paraId="7F960F55">
            <w:pPr>
              <w:adjustRightInd w:val="0"/>
              <w:snapToGrid w:val="0"/>
              <w:spacing w:line="360" w:lineRule="auto"/>
              <w:jc w:val="center"/>
              <w:rPr>
                <w:rFonts w:hint="eastAsia" w:ascii="宋体" w:hAnsi="宋体" w:eastAsia="宋体" w:cs="宋体"/>
                <w:bCs/>
                <w:sz w:val="24"/>
                <w:szCs w:val="24"/>
              </w:rPr>
            </w:pPr>
          </w:p>
        </w:tc>
        <w:tc>
          <w:tcPr>
            <w:tcW w:w="1258" w:type="dxa"/>
            <w:tcBorders>
              <w:top w:val="single" w:color="auto" w:sz="4" w:space="0"/>
              <w:left w:val="single" w:color="auto" w:sz="4" w:space="0"/>
              <w:bottom w:val="single" w:color="auto" w:sz="4" w:space="0"/>
              <w:right w:val="single" w:color="auto" w:sz="4" w:space="0"/>
            </w:tcBorders>
            <w:vAlign w:val="center"/>
          </w:tcPr>
          <w:p w14:paraId="3AD73CF8">
            <w:pPr>
              <w:adjustRightInd w:val="0"/>
              <w:snapToGrid w:val="0"/>
              <w:spacing w:line="360" w:lineRule="auto"/>
              <w:jc w:val="center"/>
              <w:rPr>
                <w:rFonts w:hint="eastAsia" w:ascii="宋体" w:hAnsi="宋体" w:eastAsia="宋体" w:cs="宋体"/>
                <w:bCs/>
                <w:sz w:val="24"/>
                <w:szCs w:val="24"/>
              </w:rPr>
            </w:pPr>
          </w:p>
        </w:tc>
        <w:tc>
          <w:tcPr>
            <w:tcW w:w="1584" w:type="dxa"/>
            <w:tcBorders>
              <w:top w:val="single" w:color="auto" w:sz="4" w:space="0"/>
              <w:left w:val="single" w:color="auto" w:sz="4" w:space="0"/>
              <w:bottom w:val="single" w:color="auto" w:sz="4" w:space="0"/>
              <w:right w:val="single" w:color="auto" w:sz="4" w:space="0"/>
            </w:tcBorders>
            <w:vAlign w:val="center"/>
          </w:tcPr>
          <w:p w14:paraId="6E4AD121">
            <w:pPr>
              <w:adjustRightInd w:val="0"/>
              <w:snapToGrid w:val="0"/>
              <w:spacing w:line="360" w:lineRule="auto"/>
              <w:jc w:val="center"/>
              <w:rPr>
                <w:rFonts w:hint="eastAsia" w:ascii="宋体" w:hAnsi="宋体" w:eastAsia="宋体" w:cs="宋体"/>
                <w:bCs/>
                <w:sz w:val="24"/>
                <w:szCs w:val="24"/>
              </w:rPr>
            </w:pPr>
          </w:p>
        </w:tc>
      </w:tr>
      <w:tr w14:paraId="219AEE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0" w:hRule="atLeast"/>
          <w:jc w:val="center"/>
        </w:trPr>
        <w:tc>
          <w:tcPr>
            <w:tcW w:w="1314" w:type="dxa"/>
            <w:tcBorders>
              <w:top w:val="single" w:color="auto" w:sz="4" w:space="0"/>
              <w:left w:val="single" w:color="auto" w:sz="4" w:space="0"/>
              <w:bottom w:val="single" w:color="auto" w:sz="4" w:space="0"/>
              <w:right w:val="single" w:color="auto" w:sz="4" w:space="0"/>
            </w:tcBorders>
            <w:vAlign w:val="center"/>
          </w:tcPr>
          <w:p w14:paraId="5CCCE0ED">
            <w:pPr>
              <w:widowControl/>
              <w:jc w:val="center"/>
              <w:textAlignment w:val="center"/>
              <w:rPr>
                <w:rFonts w:hint="eastAsia" w:ascii="宋体" w:hAnsi="宋体" w:eastAsia="宋体" w:cs="宋体"/>
                <w:bCs/>
                <w:sz w:val="24"/>
                <w:szCs w:val="24"/>
                <w:lang w:eastAsia="zh-CN"/>
              </w:rPr>
            </w:pPr>
            <w:r>
              <w:rPr>
                <w:rFonts w:hint="eastAsia" w:ascii="宋体" w:hAnsi="宋体" w:eastAsia="宋体" w:cs="宋体"/>
                <w:color w:val="000000"/>
                <w:sz w:val="24"/>
                <w:szCs w:val="24"/>
                <w:u w:val="none"/>
                <w:lang w:val="en-US" w:eastAsia="zh-CN" w:bidi="ar"/>
              </w:rPr>
              <w:t>调料</w:t>
            </w:r>
          </w:p>
        </w:tc>
        <w:tc>
          <w:tcPr>
            <w:tcW w:w="1852" w:type="dxa"/>
            <w:tcBorders>
              <w:top w:val="single" w:color="auto" w:sz="4" w:space="0"/>
              <w:left w:val="single" w:color="auto" w:sz="4" w:space="0"/>
              <w:bottom w:val="single" w:color="auto" w:sz="4" w:space="0"/>
              <w:right w:val="single" w:color="auto" w:sz="4" w:space="0"/>
            </w:tcBorders>
            <w:vAlign w:val="center"/>
          </w:tcPr>
          <w:p w14:paraId="3ADDC641">
            <w:pPr>
              <w:adjustRightInd w:val="0"/>
              <w:snapToGrid w:val="0"/>
              <w:spacing w:line="360" w:lineRule="auto"/>
              <w:jc w:val="center"/>
              <w:rPr>
                <w:rFonts w:hint="eastAsia" w:ascii="宋体" w:hAnsi="宋体" w:eastAsia="宋体" w:cs="宋体"/>
                <w:bCs/>
                <w:sz w:val="24"/>
                <w:szCs w:val="24"/>
              </w:rPr>
            </w:pPr>
          </w:p>
        </w:tc>
        <w:tc>
          <w:tcPr>
            <w:tcW w:w="1583" w:type="dxa"/>
            <w:tcBorders>
              <w:top w:val="single" w:color="auto" w:sz="4" w:space="0"/>
              <w:left w:val="single" w:color="auto" w:sz="4" w:space="0"/>
              <w:bottom w:val="single" w:color="auto" w:sz="4" w:space="0"/>
              <w:right w:val="single" w:color="auto" w:sz="4" w:space="0"/>
            </w:tcBorders>
            <w:vAlign w:val="center"/>
          </w:tcPr>
          <w:p w14:paraId="690B8381">
            <w:pPr>
              <w:adjustRightInd w:val="0"/>
              <w:snapToGrid w:val="0"/>
              <w:spacing w:line="360" w:lineRule="auto"/>
              <w:jc w:val="center"/>
              <w:rPr>
                <w:rFonts w:hint="eastAsia" w:ascii="宋体" w:hAnsi="宋体" w:eastAsia="宋体" w:cs="宋体"/>
                <w:bCs/>
                <w:sz w:val="24"/>
                <w:szCs w:val="24"/>
              </w:rPr>
            </w:pPr>
          </w:p>
        </w:tc>
        <w:tc>
          <w:tcPr>
            <w:tcW w:w="1909" w:type="dxa"/>
            <w:tcBorders>
              <w:top w:val="single" w:color="auto" w:sz="4" w:space="0"/>
              <w:left w:val="single" w:color="auto" w:sz="4" w:space="0"/>
              <w:bottom w:val="single" w:color="auto" w:sz="4" w:space="0"/>
              <w:right w:val="single" w:color="auto" w:sz="4" w:space="0"/>
            </w:tcBorders>
            <w:vAlign w:val="center"/>
          </w:tcPr>
          <w:p w14:paraId="79C0C82C">
            <w:pPr>
              <w:adjustRightInd w:val="0"/>
              <w:snapToGrid w:val="0"/>
              <w:spacing w:line="360" w:lineRule="auto"/>
              <w:jc w:val="center"/>
              <w:rPr>
                <w:rFonts w:hint="eastAsia" w:ascii="宋体" w:hAnsi="宋体" w:eastAsia="宋体" w:cs="宋体"/>
                <w:bCs/>
                <w:sz w:val="24"/>
                <w:szCs w:val="24"/>
              </w:rPr>
            </w:pPr>
          </w:p>
        </w:tc>
        <w:tc>
          <w:tcPr>
            <w:tcW w:w="1258" w:type="dxa"/>
            <w:tcBorders>
              <w:top w:val="single" w:color="auto" w:sz="4" w:space="0"/>
              <w:left w:val="single" w:color="auto" w:sz="4" w:space="0"/>
              <w:bottom w:val="single" w:color="auto" w:sz="4" w:space="0"/>
              <w:right w:val="single" w:color="auto" w:sz="4" w:space="0"/>
            </w:tcBorders>
            <w:vAlign w:val="center"/>
          </w:tcPr>
          <w:p w14:paraId="73CC37CB">
            <w:pPr>
              <w:adjustRightInd w:val="0"/>
              <w:snapToGrid w:val="0"/>
              <w:spacing w:line="360" w:lineRule="auto"/>
              <w:jc w:val="center"/>
              <w:rPr>
                <w:rFonts w:hint="eastAsia" w:ascii="宋体" w:hAnsi="宋体" w:eastAsia="宋体" w:cs="宋体"/>
                <w:bCs/>
                <w:sz w:val="24"/>
                <w:szCs w:val="24"/>
              </w:rPr>
            </w:pPr>
          </w:p>
        </w:tc>
        <w:tc>
          <w:tcPr>
            <w:tcW w:w="1584" w:type="dxa"/>
            <w:tcBorders>
              <w:top w:val="single" w:color="auto" w:sz="4" w:space="0"/>
              <w:left w:val="single" w:color="auto" w:sz="4" w:space="0"/>
              <w:bottom w:val="single" w:color="auto" w:sz="4" w:space="0"/>
              <w:right w:val="single" w:color="auto" w:sz="4" w:space="0"/>
            </w:tcBorders>
            <w:vAlign w:val="center"/>
          </w:tcPr>
          <w:p w14:paraId="7C8551AA">
            <w:pPr>
              <w:adjustRightInd w:val="0"/>
              <w:snapToGrid w:val="0"/>
              <w:spacing w:line="360" w:lineRule="auto"/>
              <w:jc w:val="center"/>
              <w:rPr>
                <w:rFonts w:hint="eastAsia" w:ascii="宋体" w:hAnsi="宋体" w:eastAsia="宋体" w:cs="宋体"/>
                <w:bCs/>
                <w:sz w:val="24"/>
                <w:szCs w:val="24"/>
              </w:rPr>
            </w:pPr>
          </w:p>
        </w:tc>
      </w:tr>
      <w:tr w14:paraId="494A62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5" w:hRule="atLeast"/>
          <w:jc w:val="center"/>
        </w:trPr>
        <w:tc>
          <w:tcPr>
            <w:tcW w:w="1314" w:type="dxa"/>
            <w:tcBorders>
              <w:top w:val="single" w:color="auto" w:sz="4" w:space="0"/>
              <w:left w:val="single" w:color="auto" w:sz="4" w:space="0"/>
              <w:bottom w:val="single" w:color="auto" w:sz="4" w:space="0"/>
              <w:right w:val="single" w:color="auto" w:sz="4" w:space="0"/>
            </w:tcBorders>
            <w:vAlign w:val="center"/>
          </w:tcPr>
          <w:p w14:paraId="45A3F04E">
            <w:pPr>
              <w:widowControl/>
              <w:jc w:val="center"/>
              <w:textAlignment w:val="center"/>
              <w:rPr>
                <w:rFonts w:hint="eastAsia" w:ascii="宋体" w:hAnsi="宋体" w:eastAsia="宋体" w:cs="宋体"/>
                <w:bCs/>
                <w:sz w:val="24"/>
                <w:szCs w:val="24"/>
              </w:rPr>
            </w:pPr>
            <w:r>
              <w:rPr>
                <w:rFonts w:ascii="宋体" w:hAnsi="宋体" w:eastAsia="宋体" w:cs="宋体"/>
                <w:color w:val="000000"/>
                <w:sz w:val="24"/>
                <w:szCs w:val="24"/>
                <w:u w:val="none"/>
                <w:lang w:bidi="ar"/>
              </w:rPr>
              <w:t>蔬菜</w:t>
            </w:r>
          </w:p>
        </w:tc>
        <w:tc>
          <w:tcPr>
            <w:tcW w:w="1852" w:type="dxa"/>
            <w:tcBorders>
              <w:top w:val="single" w:color="auto" w:sz="4" w:space="0"/>
              <w:left w:val="single" w:color="auto" w:sz="4" w:space="0"/>
              <w:bottom w:val="single" w:color="auto" w:sz="4" w:space="0"/>
              <w:right w:val="single" w:color="auto" w:sz="4" w:space="0"/>
            </w:tcBorders>
            <w:vAlign w:val="center"/>
          </w:tcPr>
          <w:p w14:paraId="3D46C364">
            <w:pPr>
              <w:adjustRightInd w:val="0"/>
              <w:snapToGrid w:val="0"/>
              <w:spacing w:line="360" w:lineRule="auto"/>
              <w:jc w:val="center"/>
              <w:rPr>
                <w:rFonts w:hint="eastAsia" w:ascii="宋体" w:hAnsi="宋体" w:eastAsia="宋体" w:cs="宋体"/>
                <w:bCs/>
                <w:sz w:val="24"/>
                <w:szCs w:val="24"/>
              </w:rPr>
            </w:pPr>
          </w:p>
        </w:tc>
        <w:tc>
          <w:tcPr>
            <w:tcW w:w="1583" w:type="dxa"/>
            <w:tcBorders>
              <w:top w:val="single" w:color="auto" w:sz="4" w:space="0"/>
              <w:left w:val="single" w:color="auto" w:sz="4" w:space="0"/>
              <w:bottom w:val="single" w:color="auto" w:sz="4" w:space="0"/>
              <w:right w:val="single" w:color="auto" w:sz="4" w:space="0"/>
            </w:tcBorders>
            <w:vAlign w:val="center"/>
          </w:tcPr>
          <w:p w14:paraId="5EC2B21C">
            <w:pPr>
              <w:adjustRightInd w:val="0"/>
              <w:snapToGrid w:val="0"/>
              <w:spacing w:line="360" w:lineRule="auto"/>
              <w:jc w:val="center"/>
              <w:rPr>
                <w:rFonts w:hint="eastAsia" w:ascii="宋体" w:hAnsi="宋体" w:eastAsia="宋体" w:cs="宋体"/>
                <w:bCs/>
                <w:sz w:val="24"/>
                <w:szCs w:val="24"/>
              </w:rPr>
            </w:pPr>
          </w:p>
        </w:tc>
        <w:tc>
          <w:tcPr>
            <w:tcW w:w="1909" w:type="dxa"/>
            <w:tcBorders>
              <w:top w:val="single" w:color="auto" w:sz="4" w:space="0"/>
              <w:left w:val="single" w:color="auto" w:sz="4" w:space="0"/>
              <w:bottom w:val="single" w:color="auto" w:sz="4" w:space="0"/>
              <w:right w:val="single" w:color="auto" w:sz="4" w:space="0"/>
            </w:tcBorders>
            <w:vAlign w:val="center"/>
          </w:tcPr>
          <w:p w14:paraId="6E37D3C1">
            <w:pPr>
              <w:adjustRightInd w:val="0"/>
              <w:snapToGrid w:val="0"/>
              <w:spacing w:line="360" w:lineRule="auto"/>
              <w:jc w:val="center"/>
              <w:rPr>
                <w:rFonts w:hint="eastAsia" w:ascii="宋体" w:hAnsi="宋体" w:eastAsia="宋体" w:cs="宋体"/>
                <w:bCs/>
                <w:sz w:val="24"/>
                <w:szCs w:val="24"/>
              </w:rPr>
            </w:pPr>
          </w:p>
        </w:tc>
        <w:tc>
          <w:tcPr>
            <w:tcW w:w="1258" w:type="dxa"/>
            <w:tcBorders>
              <w:top w:val="single" w:color="auto" w:sz="4" w:space="0"/>
              <w:left w:val="single" w:color="auto" w:sz="4" w:space="0"/>
              <w:bottom w:val="single" w:color="auto" w:sz="4" w:space="0"/>
              <w:right w:val="single" w:color="auto" w:sz="4" w:space="0"/>
            </w:tcBorders>
            <w:vAlign w:val="center"/>
          </w:tcPr>
          <w:p w14:paraId="6EC38F6B">
            <w:pPr>
              <w:adjustRightInd w:val="0"/>
              <w:snapToGrid w:val="0"/>
              <w:spacing w:line="360" w:lineRule="auto"/>
              <w:jc w:val="center"/>
              <w:rPr>
                <w:rFonts w:hint="eastAsia" w:ascii="宋体" w:hAnsi="宋体" w:eastAsia="宋体" w:cs="宋体"/>
                <w:bCs/>
                <w:sz w:val="24"/>
                <w:szCs w:val="24"/>
              </w:rPr>
            </w:pPr>
          </w:p>
        </w:tc>
        <w:tc>
          <w:tcPr>
            <w:tcW w:w="1584" w:type="dxa"/>
            <w:tcBorders>
              <w:top w:val="single" w:color="auto" w:sz="4" w:space="0"/>
              <w:left w:val="single" w:color="auto" w:sz="4" w:space="0"/>
              <w:bottom w:val="single" w:color="auto" w:sz="4" w:space="0"/>
              <w:right w:val="single" w:color="auto" w:sz="4" w:space="0"/>
            </w:tcBorders>
            <w:vAlign w:val="center"/>
          </w:tcPr>
          <w:p w14:paraId="5F61E2E5">
            <w:pPr>
              <w:adjustRightInd w:val="0"/>
              <w:snapToGrid w:val="0"/>
              <w:spacing w:line="360" w:lineRule="auto"/>
              <w:jc w:val="center"/>
              <w:rPr>
                <w:rFonts w:hint="eastAsia" w:ascii="宋体" w:hAnsi="宋体" w:eastAsia="宋体" w:cs="宋体"/>
                <w:bCs/>
                <w:sz w:val="24"/>
                <w:szCs w:val="24"/>
              </w:rPr>
            </w:pPr>
          </w:p>
        </w:tc>
      </w:tr>
    </w:tbl>
    <w:p w14:paraId="36EA3650">
      <w:pPr>
        <w:adjustRightInd w:val="0"/>
        <w:snapToGrid w:val="0"/>
        <w:spacing w:line="360" w:lineRule="auto"/>
        <w:ind w:firstLine="480" w:firstLineChars="200"/>
        <w:rPr>
          <w:rFonts w:hint="eastAsia" w:ascii="宋体" w:hAnsi="宋体" w:eastAsia="宋体" w:cs="宋体"/>
          <w:bCs/>
          <w:sz w:val="24"/>
          <w:szCs w:val="24"/>
        </w:rPr>
      </w:pPr>
      <w:r>
        <w:rPr>
          <w:rFonts w:hint="eastAsia" w:ascii="宋体" w:hAnsi="宋体" w:eastAsia="宋体" w:cs="宋体"/>
          <w:bCs/>
          <w:sz w:val="24"/>
          <w:szCs w:val="24"/>
        </w:rPr>
        <w:t>2、投标报价包含食品的生产、包装、储藏、配送、税收、检验、留样、培训、验收、招标代理服务费等相关的所有费用。投标人所报的价格应考虑到可能发生的所有与完成本项目相关服务及履行合同义务有关的一切费用。</w:t>
      </w:r>
    </w:p>
    <w:p w14:paraId="523278A6">
      <w:pPr>
        <w:adjustRightInd w:val="0"/>
        <w:snapToGrid w:val="0"/>
        <w:spacing w:line="360" w:lineRule="auto"/>
        <w:ind w:firstLine="480" w:firstLineChars="200"/>
        <w:rPr>
          <w:rFonts w:hint="eastAsia" w:ascii="宋体" w:hAnsi="宋体" w:eastAsia="宋体" w:cs="宋体"/>
          <w:bCs/>
          <w:sz w:val="24"/>
          <w:szCs w:val="24"/>
        </w:rPr>
      </w:pPr>
      <w:r>
        <w:rPr>
          <w:rFonts w:hint="eastAsia" w:ascii="宋体" w:hAnsi="宋体" w:eastAsia="宋体" w:cs="宋体"/>
          <w:bCs/>
          <w:sz w:val="24"/>
          <w:szCs w:val="24"/>
        </w:rPr>
        <w:t>第四条  付款方式：</w:t>
      </w:r>
    </w:p>
    <w:p w14:paraId="754B4D1F">
      <w:pPr>
        <w:adjustRightInd w:val="0"/>
        <w:snapToGrid w:val="0"/>
        <w:spacing w:line="360" w:lineRule="auto"/>
        <w:ind w:firstLine="480" w:firstLineChars="200"/>
        <w:rPr>
          <w:rFonts w:hint="eastAsia" w:ascii="宋体" w:hAnsi="宋体" w:eastAsia="宋体" w:cs="宋体"/>
          <w:bCs/>
          <w:sz w:val="24"/>
          <w:szCs w:val="24"/>
        </w:rPr>
      </w:pPr>
      <w:r>
        <w:rPr>
          <w:rFonts w:hint="eastAsia" w:ascii="宋体" w:hAnsi="宋体" w:eastAsia="宋体" w:cs="宋体"/>
          <w:bCs/>
          <w:sz w:val="24"/>
          <w:szCs w:val="24"/>
        </w:rPr>
        <w:t>以每月实际配送数量为准，按月付款。结算价=实际配送数量×</w:t>
      </w:r>
      <w:r>
        <w:rPr>
          <w:rFonts w:hint="eastAsia" w:ascii="宋体" w:hAnsi="宋体" w:cs="宋体"/>
          <w:bCs/>
          <w:sz w:val="24"/>
          <w:szCs w:val="24"/>
          <w:lang w:eastAsia="zh-CN"/>
        </w:rPr>
        <w:t>（</w:t>
      </w:r>
      <w:r>
        <w:rPr>
          <w:rFonts w:hint="eastAsia" w:ascii="宋体" w:hAnsi="宋体" w:cs="宋体"/>
          <w:bCs/>
          <w:sz w:val="24"/>
          <w:szCs w:val="24"/>
          <w:lang w:val="en-US" w:eastAsia="zh-CN"/>
        </w:rPr>
        <w:t>1-下浮率</w:t>
      </w:r>
      <w:r>
        <w:rPr>
          <w:rFonts w:hint="eastAsia" w:ascii="宋体" w:hAnsi="宋体" w:cs="宋体"/>
          <w:bCs/>
          <w:sz w:val="24"/>
          <w:szCs w:val="24"/>
          <w:lang w:eastAsia="zh-CN"/>
        </w:rPr>
        <w:t>）</w:t>
      </w:r>
      <w:r>
        <w:rPr>
          <w:rFonts w:hint="eastAsia" w:ascii="宋体" w:hAnsi="宋体" w:cs="宋体"/>
          <w:bCs/>
          <w:sz w:val="24"/>
          <w:szCs w:val="24"/>
          <w:lang w:val="en-US" w:eastAsia="zh-CN"/>
        </w:rPr>
        <w:t>*平均零售价</w:t>
      </w:r>
      <w:bookmarkStart w:id="0" w:name="_GoBack"/>
      <w:bookmarkEnd w:id="0"/>
      <w:r>
        <w:rPr>
          <w:rFonts w:hint="eastAsia" w:ascii="宋体" w:hAnsi="宋体" w:eastAsia="宋体" w:cs="宋体"/>
          <w:bCs/>
          <w:sz w:val="24"/>
          <w:szCs w:val="24"/>
        </w:rPr>
        <w:t>，成交人按照采购人要求将货物送到采购人指定地点，提供所供货物清单（含货物种类、数量、价格），采购人对所供货物的价格、数量、质量进行核实，经核实无误后在供货单上签字确认。</w:t>
      </w:r>
    </w:p>
    <w:p w14:paraId="64DA8FC7">
      <w:pPr>
        <w:adjustRightInd w:val="0"/>
        <w:snapToGrid w:val="0"/>
        <w:spacing w:line="360" w:lineRule="auto"/>
        <w:ind w:firstLine="480" w:firstLineChars="200"/>
        <w:rPr>
          <w:rFonts w:hint="eastAsia" w:ascii="宋体" w:hAnsi="宋体" w:eastAsia="宋体" w:cs="宋体"/>
          <w:bCs/>
          <w:sz w:val="24"/>
          <w:szCs w:val="24"/>
        </w:rPr>
      </w:pPr>
      <w:r>
        <w:rPr>
          <w:rFonts w:hint="eastAsia" w:ascii="宋体" w:hAnsi="宋体" w:eastAsia="宋体" w:cs="宋体"/>
          <w:bCs/>
          <w:sz w:val="24"/>
          <w:szCs w:val="24"/>
        </w:rPr>
        <w:t>第五条  双方权利与义务</w:t>
      </w:r>
    </w:p>
    <w:p w14:paraId="2FCAA654">
      <w:pPr>
        <w:adjustRightInd w:val="0"/>
        <w:snapToGrid w:val="0"/>
        <w:spacing w:line="360" w:lineRule="auto"/>
        <w:ind w:firstLine="480" w:firstLineChars="200"/>
        <w:rPr>
          <w:rFonts w:hint="eastAsia" w:ascii="宋体" w:hAnsi="宋体" w:eastAsia="宋体" w:cs="宋体"/>
          <w:bCs/>
          <w:sz w:val="24"/>
          <w:szCs w:val="24"/>
        </w:rPr>
      </w:pPr>
      <w:r>
        <w:rPr>
          <w:rFonts w:hint="eastAsia" w:ascii="宋体" w:hAnsi="宋体" w:eastAsia="宋体" w:cs="宋体"/>
          <w:bCs/>
          <w:sz w:val="24"/>
          <w:szCs w:val="24"/>
        </w:rPr>
        <w:t>(一)甲方的权利与义务</w:t>
      </w:r>
    </w:p>
    <w:p w14:paraId="0C5BA09D">
      <w:pPr>
        <w:adjustRightInd w:val="0"/>
        <w:snapToGrid w:val="0"/>
        <w:spacing w:line="360" w:lineRule="auto"/>
        <w:ind w:firstLine="480" w:firstLineChars="200"/>
        <w:rPr>
          <w:rFonts w:hint="eastAsia" w:ascii="宋体" w:hAnsi="宋体" w:eastAsia="宋体" w:cs="宋体"/>
          <w:bCs/>
          <w:sz w:val="24"/>
          <w:szCs w:val="24"/>
        </w:rPr>
      </w:pPr>
      <w:r>
        <w:rPr>
          <w:rFonts w:hint="eastAsia" w:ascii="宋体" w:hAnsi="宋体" w:eastAsia="宋体" w:cs="宋体"/>
          <w:bCs/>
          <w:sz w:val="24"/>
          <w:szCs w:val="24"/>
        </w:rPr>
        <w:t xml:space="preserve">1、甲方有权利要求乙方提供每批次所购货物的质检报告，甲方有权利对乙方所供货物进行不定期另行抽检，由乙方承担所有费用，有权拒收有质量问题的货物。 </w:t>
      </w:r>
    </w:p>
    <w:p w14:paraId="322D4E13">
      <w:pPr>
        <w:adjustRightInd w:val="0"/>
        <w:snapToGrid w:val="0"/>
        <w:spacing w:line="360" w:lineRule="auto"/>
        <w:ind w:firstLine="480" w:firstLineChars="200"/>
        <w:rPr>
          <w:rFonts w:hint="eastAsia" w:ascii="宋体" w:hAnsi="宋体" w:eastAsia="宋体" w:cs="宋体"/>
          <w:bCs/>
          <w:sz w:val="24"/>
          <w:szCs w:val="24"/>
        </w:rPr>
      </w:pPr>
      <w:r>
        <w:rPr>
          <w:rFonts w:hint="eastAsia" w:ascii="宋体" w:hAnsi="宋体" w:eastAsia="宋体" w:cs="宋体"/>
          <w:bCs/>
          <w:sz w:val="24"/>
          <w:szCs w:val="24"/>
        </w:rPr>
        <w:t>2、甲方有权利拒绝接受非甲方采购货物。</w:t>
      </w:r>
    </w:p>
    <w:p w14:paraId="0F18FABC">
      <w:pPr>
        <w:adjustRightInd w:val="0"/>
        <w:snapToGrid w:val="0"/>
        <w:spacing w:line="360" w:lineRule="auto"/>
        <w:ind w:firstLine="480" w:firstLineChars="200"/>
        <w:rPr>
          <w:rFonts w:hint="eastAsia" w:ascii="宋体" w:hAnsi="宋体" w:eastAsia="宋体" w:cs="宋体"/>
          <w:bCs/>
          <w:sz w:val="24"/>
          <w:szCs w:val="24"/>
        </w:rPr>
      </w:pPr>
      <w:r>
        <w:rPr>
          <w:rFonts w:hint="eastAsia" w:ascii="宋体" w:hAnsi="宋体" w:eastAsia="宋体" w:cs="宋体"/>
          <w:bCs/>
          <w:sz w:val="24"/>
          <w:szCs w:val="24"/>
        </w:rPr>
        <w:t xml:space="preserve">3、甲方有权利对乙方所供货物超出保质期或包装严重变形、破损，食品污损、变异等拒绝接收。  </w:t>
      </w:r>
    </w:p>
    <w:p w14:paraId="4C57AAE1">
      <w:pPr>
        <w:adjustRightInd w:val="0"/>
        <w:snapToGrid w:val="0"/>
        <w:spacing w:line="360" w:lineRule="auto"/>
        <w:ind w:firstLine="480" w:firstLineChars="200"/>
        <w:rPr>
          <w:rFonts w:hint="eastAsia" w:ascii="宋体" w:hAnsi="宋体" w:eastAsia="宋体" w:cs="宋体"/>
          <w:bCs/>
          <w:sz w:val="24"/>
          <w:szCs w:val="24"/>
        </w:rPr>
      </w:pPr>
      <w:r>
        <w:rPr>
          <w:rFonts w:hint="eastAsia" w:ascii="宋体" w:hAnsi="宋体" w:eastAsia="宋体" w:cs="宋体"/>
          <w:bCs/>
          <w:sz w:val="24"/>
          <w:szCs w:val="24"/>
        </w:rPr>
        <w:t>4、甲方有权利对乙方的货物进行监督和评判。</w:t>
      </w:r>
    </w:p>
    <w:p w14:paraId="5A435680">
      <w:pPr>
        <w:adjustRightInd w:val="0"/>
        <w:snapToGrid w:val="0"/>
        <w:spacing w:line="360" w:lineRule="auto"/>
        <w:ind w:firstLine="480" w:firstLineChars="200"/>
        <w:rPr>
          <w:rFonts w:hint="eastAsia" w:ascii="宋体" w:hAnsi="宋体" w:eastAsia="宋体" w:cs="宋体"/>
          <w:bCs/>
          <w:sz w:val="24"/>
          <w:szCs w:val="24"/>
        </w:rPr>
      </w:pPr>
      <w:r>
        <w:rPr>
          <w:rFonts w:hint="eastAsia" w:ascii="宋体" w:hAnsi="宋体" w:eastAsia="宋体" w:cs="宋体"/>
          <w:bCs/>
          <w:sz w:val="24"/>
          <w:szCs w:val="24"/>
        </w:rPr>
        <w:t>5、甲方有义务对乙方所供货物进行规范储存。</w:t>
      </w:r>
    </w:p>
    <w:p w14:paraId="645A4164">
      <w:pPr>
        <w:adjustRightInd w:val="0"/>
        <w:snapToGrid w:val="0"/>
        <w:spacing w:line="360" w:lineRule="auto"/>
        <w:ind w:firstLine="480" w:firstLineChars="200"/>
        <w:rPr>
          <w:rFonts w:hint="eastAsia" w:ascii="宋体" w:hAnsi="宋体" w:eastAsia="宋体" w:cs="宋体"/>
          <w:bCs/>
          <w:sz w:val="24"/>
          <w:szCs w:val="24"/>
        </w:rPr>
      </w:pPr>
      <w:r>
        <w:rPr>
          <w:rFonts w:hint="eastAsia" w:ascii="宋体" w:hAnsi="宋体" w:eastAsia="宋体" w:cs="宋体"/>
          <w:bCs/>
          <w:sz w:val="24"/>
          <w:szCs w:val="24"/>
        </w:rPr>
        <w:t>6、甲方有义务配合乙方对所供货物流向进行监控，不得出现流入非本渠道现象，更不能出现售卖等现象。</w:t>
      </w:r>
    </w:p>
    <w:p w14:paraId="758B91CF">
      <w:pPr>
        <w:adjustRightInd w:val="0"/>
        <w:snapToGrid w:val="0"/>
        <w:spacing w:line="360" w:lineRule="auto"/>
        <w:ind w:firstLine="480" w:firstLineChars="200"/>
        <w:rPr>
          <w:rFonts w:hint="eastAsia" w:ascii="宋体" w:hAnsi="宋体" w:eastAsia="宋体" w:cs="宋体"/>
          <w:bCs/>
          <w:sz w:val="24"/>
          <w:szCs w:val="24"/>
        </w:rPr>
      </w:pPr>
      <w:r>
        <w:rPr>
          <w:rFonts w:hint="eastAsia" w:ascii="宋体" w:hAnsi="宋体" w:eastAsia="宋体" w:cs="宋体"/>
          <w:bCs/>
          <w:sz w:val="24"/>
          <w:szCs w:val="24"/>
        </w:rPr>
        <w:t>7、在合同期内出现时间、地点、人员变化等情况，甲方有义务事先通告乙方并配合乙方完成相关交接工作。</w:t>
      </w:r>
    </w:p>
    <w:p w14:paraId="0665B567">
      <w:pPr>
        <w:adjustRightInd w:val="0"/>
        <w:snapToGrid w:val="0"/>
        <w:spacing w:line="360" w:lineRule="auto"/>
        <w:ind w:firstLine="480" w:firstLineChars="200"/>
        <w:rPr>
          <w:rFonts w:hint="eastAsia" w:ascii="宋体" w:hAnsi="宋体" w:eastAsia="宋体" w:cs="宋体"/>
          <w:bCs/>
          <w:sz w:val="24"/>
          <w:szCs w:val="24"/>
        </w:rPr>
      </w:pPr>
      <w:r>
        <w:rPr>
          <w:rFonts w:hint="eastAsia" w:ascii="宋体" w:hAnsi="宋体" w:eastAsia="宋体" w:cs="宋体"/>
          <w:bCs/>
          <w:sz w:val="24"/>
          <w:szCs w:val="24"/>
        </w:rPr>
        <w:t>8、甲方有义务配合乙方处理完善双方合作中的突发事件。</w:t>
      </w:r>
    </w:p>
    <w:p w14:paraId="06ECE5FF">
      <w:pPr>
        <w:adjustRightInd w:val="0"/>
        <w:snapToGrid w:val="0"/>
        <w:spacing w:line="360" w:lineRule="auto"/>
        <w:ind w:firstLine="480" w:firstLineChars="200"/>
        <w:rPr>
          <w:rFonts w:hint="eastAsia" w:ascii="宋体" w:hAnsi="宋体" w:eastAsia="宋体" w:cs="宋体"/>
          <w:bCs/>
          <w:sz w:val="24"/>
          <w:szCs w:val="24"/>
        </w:rPr>
      </w:pPr>
      <w:r>
        <w:rPr>
          <w:rFonts w:hint="eastAsia" w:ascii="宋体" w:hAnsi="宋体" w:eastAsia="宋体" w:cs="宋体"/>
          <w:bCs/>
          <w:sz w:val="24"/>
          <w:szCs w:val="24"/>
        </w:rPr>
        <w:t>9、甲方有义务配合乙方做好关于食品安全知识的宣传工作。</w:t>
      </w:r>
    </w:p>
    <w:p w14:paraId="4940163E">
      <w:pPr>
        <w:adjustRightInd w:val="0"/>
        <w:snapToGrid w:val="0"/>
        <w:spacing w:line="360" w:lineRule="auto"/>
        <w:ind w:firstLine="480" w:firstLineChars="200"/>
        <w:rPr>
          <w:rFonts w:hint="eastAsia" w:ascii="宋体" w:hAnsi="宋体" w:eastAsia="宋体" w:cs="宋体"/>
          <w:bCs/>
          <w:sz w:val="24"/>
          <w:szCs w:val="24"/>
        </w:rPr>
      </w:pPr>
      <w:r>
        <w:rPr>
          <w:rFonts w:hint="eastAsia" w:ascii="宋体" w:hAnsi="宋体" w:eastAsia="宋体" w:cs="宋体"/>
          <w:bCs/>
          <w:sz w:val="24"/>
          <w:szCs w:val="24"/>
        </w:rPr>
        <w:t>10、甲方有义务按时付给乙方货款，(除节假日、财务审计、财务预决算、银行支付系统升级等不可抗拒的因素。)</w:t>
      </w:r>
    </w:p>
    <w:p w14:paraId="3AA2219D">
      <w:pPr>
        <w:adjustRightInd w:val="0"/>
        <w:snapToGrid w:val="0"/>
        <w:spacing w:line="360" w:lineRule="auto"/>
        <w:ind w:firstLine="480" w:firstLineChars="200"/>
        <w:rPr>
          <w:rFonts w:hint="eastAsia" w:ascii="宋体" w:hAnsi="宋体" w:eastAsia="宋体" w:cs="宋体"/>
          <w:bCs/>
          <w:sz w:val="24"/>
          <w:szCs w:val="24"/>
        </w:rPr>
      </w:pPr>
      <w:r>
        <w:rPr>
          <w:rFonts w:hint="eastAsia" w:ascii="宋体" w:hAnsi="宋体" w:eastAsia="宋体" w:cs="宋体"/>
          <w:bCs/>
          <w:sz w:val="24"/>
          <w:szCs w:val="24"/>
        </w:rPr>
        <w:t>11、甲方有义务为乙方提供配送学校详细信息和学生数。</w:t>
      </w:r>
    </w:p>
    <w:p w14:paraId="78F05CBF">
      <w:pPr>
        <w:adjustRightInd w:val="0"/>
        <w:snapToGrid w:val="0"/>
        <w:spacing w:line="360" w:lineRule="auto"/>
        <w:ind w:firstLine="480" w:firstLineChars="200"/>
        <w:rPr>
          <w:rFonts w:hint="eastAsia" w:ascii="宋体" w:hAnsi="宋体" w:eastAsia="宋体" w:cs="宋体"/>
          <w:bCs/>
          <w:sz w:val="24"/>
          <w:szCs w:val="24"/>
        </w:rPr>
      </w:pPr>
      <w:r>
        <w:rPr>
          <w:rFonts w:hint="eastAsia" w:ascii="宋体" w:hAnsi="宋体" w:eastAsia="宋体" w:cs="宋体"/>
          <w:bCs/>
          <w:sz w:val="24"/>
          <w:szCs w:val="24"/>
        </w:rPr>
        <w:t>(二)乙方的权利与义务</w:t>
      </w:r>
    </w:p>
    <w:p w14:paraId="38230DFD">
      <w:pPr>
        <w:adjustRightInd w:val="0"/>
        <w:snapToGrid w:val="0"/>
        <w:spacing w:line="360" w:lineRule="auto"/>
        <w:ind w:firstLine="480" w:firstLineChars="200"/>
        <w:rPr>
          <w:rFonts w:hint="eastAsia" w:ascii="宋体" w:hAnsi="宋体" w:eastAsia="宋体" w:cs="宋体"/>
          <w:bCs/>
          <w:sz w:val="24"/>
          <w:szCs w:val="24"/>
        </w:rPr>
      </w:pPr>
      <w:r>
        <w:rPr>
          <w:rFonts w:hint="eastAsia" w:ascii="宋体" w:hAnsi="宋体" w:eastAsia="宋体" w:cs="宋体"/>
          <w:bCs/>
          <w:sz w:val="24"/>
          <w:szCs w:val="24"/>
        </w:rPr>
        <w:t>1、乙方必须遵守《中华人民共和国食品安全法》及其他相关的国家法律法规规章、国家标准、行业标准的所有规定，在进货时查验许可证和相关证明文件，建立并遵守查验记录制度、出厂检验记录制度；向甲方提供食品流通以及生产厂家所需证照复印件及相关资料。</w:t>
      </w:r>
    </w:p>
    <w:p w14:paraId="33DC6D77">
      <w:pPr>
        <w:adjustRightInd w:val="0"/>
        <w:snapToGrid w:val="0"/>
        <w:spacing w:line="360" w:lineRule="auto"/>
        <w:ind w:firstLine="480" w:firstLineChars="200"/>
        <w:rPr>
          <w:rFonts w:hint="eastAsia" w:ascii="宋体" w:hAnsi="宋体" w:eastAsia="宋体" w:cs="宋体"/>
          <w:bCs/>
          <w:sz w:val="24"/>
          <w:szCs w:val="24"/>
        </w:rPr>
      </w:pPr>
      <w:r>
        <w:rPr>
          <w:rFonts w:hint="eastAsia" w:ascii="宋体" w:hAnsi="宋体" w:eastAsia="宋体" w:cs="宋体"/>
          <w:bCs/>
          <w:sz w:val="24"/>
          <w:szCs w:val="24"/>
        </w:rPr>
        <w:t>2、乙方严格按照合同，执行政府有关法律法规的政策规定和行业规定的相关标准。</w:t>
      </w:r>
    </w:p>
    <w:p w14:paraId="2A603DCE">
      <w:pPr>
        <w:adjustRightInd w:val="0"/>
        <w:snapToGrid w:val="0"/>
        <w:spacing w:line="360" w:lineRule="auto"/>
        <w:ind w:firstLine="480" w:firstLineChars="200"/>
        <w:rPr>
          <w:rFonts w:hint="eastAsia" w:ascii="宋体" w:hAnsi="宋体" w:eastAsia="宋体" w:cs="宋体"/>
          <w:bCs/>
          <w:sz w:val="24"/>
          <w:szCs w:val="24"/>
        </w:rPr>
      </w:pPr>
      <w:r>
        <w:rPr>
          <w:rFonts w:hint="eastAsia" w:ascii="宋体" w:hAnsi="宋体" w:eastAsia="宋体" w:cs="宋体"/>
          <w:bCs/>
          <w:sz w:val="24"/>
          <w:szCs w:val="24"/>
        </w:rPr>
        <w:t>3、乙方承诺每次配送的货物必须符合甲方采购要求并且符合国家食品卫生标准。</w:t>
      </w:r>
    </w:p>
    <w:p w14:paraId="492FDDEE">
      <w:pPr>
        <w:adjustRightInd w:val="0"/>
        <w:snapToGrid w:val="0"/>
        <w:spacing w:line="360" w:lineRule="auto"/>
        <w:ind w:firstLine="480" w:firstLineChars="200"/>
        <w:rPr>
          <w:rFonts w:hint="eastAsia" w:ascii="宋体" w:hAnsi="宋体" w:eastAsia="宋体" w:cs="宋体"/>
          <w:bCs/>
          <w:sz w:val="24"/>
          <w:szCs w:val="24"/>
        </w:rPr>
      </w:pPr>
      <w:r>
        <w:rPr>
          <w:rFonts w:hint="eastAsia" w:ascii="宋体" w:hAnsi="宋体" w:eastAsia="宋体" w:cs="宋体"/>
          <w:bCs/>
          <w:sz w:val="24"/>
          <w:szCs w:val="24"/>
        </w:rPr>
        <w:t>4、乙方按照甲方提供的学校地址和时间及时配送到位。</w:t>
      </w:r>
    </w:p>
    <w:p w14:paraId="4C61C1FC">
      <w:pPr>
        <w:adjustRightInd w:val="0"/>
        <w:snapToGrid w:val="0"/>
        <w:spacing w:line="360" w:lineRule="auto"/>
        <w:ind w:firstLine="480" w:firstLineChars="200"/>
        <w:rPr>
          <w:rFonts w:hint="eastAsia" w:ascii="宋体" w:hAnsi="宋体" w:eastAsia="宋体" w:cs="宋体"/>
          <w:bCs/>
          <w:sz w:val="24"/>
          <w:szCs w:val="24"/>
        </w:rPr>
      </w:pPr>
      <w:r>
        <w:rPr>
          <w:rFonts w:hint="eastAsia" w:ascii="宋体" w:hAnsi="宋体" w:eastAsia="宋体" w:cs="宋体"/>
          <w:bCs/>
          <w:sz w:val="24"/>
          <w:szCs w:val="24"/>
        </w:rPr>
        <w:t>5、乙方应在本合同签订之日起5个工作日内，为实施本项目购买食品安全责任保险，并及时报送甲方备案，保险购买方式由甲方双方具体协商。</w:t>
      </w:r>
    </w:p>
    <w:p w14:paraId="5D5BC82C">
      <w:pPr>
        <w:adjustRightInd w:val="0"/>
        <w:snapToGrid w:val="0"/>
        <w:spacing w:line="360" w:lineRule="auto"/>
        <w:ind w:firstLine="480" w:firstLineChars="200"/>
        <w:rPr>
          <w:rFonts w:hint="eastAsia" w:ascii="宋体" w:hAnsi="宋体" w:eastAsia="宋体" w:cs="宋体"/>
          <w:bCs/>
          <w:sz w:val="24"/>
          <w:szCs w:val="24"/>
        </w:rPr>
      </w:pPr>
      <w:r>
        <w:rPr>
          <w:rFonts w:hint="eastAsia" w:ascii="宋体" w:hAnsi="宋体" w:eastAsia="宋体" w:cs="宋体"/>
          <w:bCs/>
          <w:sz w:val="24"/>
          <w:szCs w:val="24"/>
        </w:rPr>
        <w:t>6、乙方有义务对所供学校的师生进行食品安全知识及管理的培训。</w:t>
      </w:r>
    </w:p>
    <w:p w14:paraId="251B21D8">
      <w:pPr>
        <w:adjustRightInd w:val="0"/>
        <w:snapToGrid w:val="0"/>
        <w:spacing w:line="360" w:lineRule="auto"/>
        <w:ind w:firstLine="480" w:firstLineChars="200"/>
        <w:rPr>
          <w:rFonts w:hint="eastAsia" w:ascii="宋体" w:hAnsi="宋体" w:eastAsia="宋体" w:cs="宋体"/>
          <w:bCs/>
          <w:sz w:val="24"/>
          <w:szCs w:val="24"/>
        </w:rPr>
      </w:pPr>
      <w:r>
        <w:rPr>
          <w:rFonts w:hint="eastAsia" w:ascii="宋体" w:hAnsi="宋体" w:eastAsia="宋体" w:cs="宋体"/>
          <w:bCs/>
          <w:sz w:val="24"/>
          <w:szCs w:val="24"/>
        </w:rPr>
        <w:t>7、乙方有义务对所供学校每批次提供2份留样。</w:t>
      </w:r>
    </w:p>
    <w:p w14:paraId="1CEE177D">
      <w:pPr>
        <w:adjustRightInd w:val="0"/>
        <w:snapToGrid w:val="0"/>
        <w:spacing w:line="360" w:lineRule="auto"/>
        <w:ind w:firstLine="480" w:firstLineChars="200"/>
        <w:rPr>
          <w:rFonts w:hint="eastAsia" w:ascii="宋体" w:hAnsi="宋体" w:eastAsia="宋体" w:cs="宋体"/>
          <w:bCs/>
          <w:sz w:val="24"/>
          <w:szCs w:val="24"/>
        </w:rPr>
      </w:pPr>
      <w:r>
        <w:rPr>
          <w:rFonts w:hint="eastAsia" w:ascii="宋体" w:hAnsi="宋体" w:eastAsia="宋体" w:cs="宋体"/>
          <w:bCs/>
          <w:sz w:val="24"/>
          <w:szCs w:val="24"/>
        </w:rPr>
        <w:t>8、乙方有义务对所供学校在每次配送的同时提供每批次所供货物的质检报告复印件或出厂自检报告。</w:t>
      </w:r>
    </w:p>
    <w:p w14:paraId="7507DCD7">
      <w:pPr>
        <w:adjustRightInd w:val="0"/>
        <w:snapToGrid w:val="0"/>
        <w:spacing w:line="360" w:lineRule="auto"/>
        <w:ind w:firstLine="480" w:firstLineChars="200"/>
        <w:rPr>
          <w:rFonts w:hint="eastAsia" w:ascii="宋体" w:hAnsi="宋体" w:eastAsia="宋体" w:cs="宋体"/>
          <w:bCs/>
          <w:sz w:val="24"/>
          <w:szCs w:val="24"/>
        </w:rPr>
      </w:pPr>
      <w:r>
        <w:rPr>
          <w:rFonts w:hint="eastAsia" w:ascii="宋体" w:hAnsi="宋体" w:eastAsia="宋体" w:cs="宋体"/>
          <w:bCs/>
          <w:sz w:val="24"/>
          <w:szCs w:val="24"/>
        </w:rPr>
        <w:t xml:space="preserve">9、乙方在按相关规定送货到位后并出具货物配送票据或货物清单，甲方应及时按采购要求验货，符合所购货物要求的接收并在票据或清单上签字认可，乙方有权监督避免拖延时间或无人接货等现象的出现。 </w:t>
      </w:r>
    </w:p>
    <w:p w14:paraId="49B01A6B">
      <w:pPr>
        <w:adjustRightInd w:val="0"/>
        <w:snapToGrid w:val="0"/>
        <w:spacing w:line="360" w:lineRule="auto"/>
        <w:ind w:firstLine="480" w:firstLineChars="200"/>
        <w:rPr>
          <w:rFonts w:hint="eastAsia" w:ascii="宋体" w:hAnsi="宋体" w:eastAsia="宋体" w:cs="宋体"/>
          <w:bCs/>
          <w:sz w:val="24"/>
          <w:szCs w:val="24"/>
        </w:rPr>
      </w:pPr>
      <w:r>
        <w:rPr>
          <w:rFonts w:hint="eastAsia" w:ascii="宋体" w:hAnsi="宋体" w:eastAsia="宋体" w:cs="宋体"/>
          <w:bCs/>
          <w:sz w:val="24"/>
          <w:szCs w:val="24"/>
        </w:rPr>
        <w:t>乙方在配送过程中要切实保证人员、车辆及财产安全，若在配送过程中发生安全事故以及经济损失，全部由乙方承担，甲方不承担任何责任。</w:t>
      </w:r>
    </w:p>
    <w:p w14:paraId="03F24D85">
      <w:pPr>
        <w:adjustRightInd w:val="0"/>
        <w:snapToGrid w:val="0"/>
        <w:spacing w:line="360" w:lineRule="auto"/>
        <w:ind w:firstLine="480" w:firstLineChars="200"/>
        <w:rPr>
          <w:rFonts w:hint="eastAsia" w:ascii="宋体" w:hAnsi="宋体" w:eastAsia="宋体" w:cs="宋体"/>
          <w:bCs/>
          <w:sz w:val="24"/>
          <w:szCs w:val="24"/>
        </w:rPr>
      </w:pPr>
      <w:r>
        <w:rPr>
          <w:rFonts w:hint="eastAsia" w:ascii="宋体" w:hAnsi="宋体" w:eastAsia="宋体" w:cs="宋体"/>
          <w:bCs/>
          <w:sz w:val="24"/>
          <w:szCs w:val="24"/>
        </w:rPr>
        <w:t>10、乙方给学校提供垃圾袋并进行垃圾回收、处理。</w:t>
      </w:r>
    </w:p>
    <w:p w14:paraId="0194A835">
      <w:pPr>
        <w:adjustRightInd w:val="0"/>
        <w:snapToGrid w:val="0"/>
        <w:spacing w:line="360" w:lineRule="auto"/>
        <w:ind w:firstLine="480" w:firstLineChars="200"/>
        <w:rPr>
          <w:rFonts w:hint="eastAsia" w:ascii="宋体" w:hAnsi="宋体" w:eastAsia="宋体" w:cs="宋体"/>
          <w:bCs/>
          <w:sz w:val="24"/>
          <w:szCs w:val="24"/>
        </w:rPr>
      </w:pPr>
      <w:r>
        <w:rPr>
          <w:rFonts w:hint="eastAsia" w:ascii="宋体" w:hAnsi="宋体" w:eastAsia="宋体" w:cs="宋体"/>
          <w:bCs/>
          <w:sz w:val="24"/>
          <w:szCs w:val="24"/>
        </w:rPr>
        <w:t>第六条  货物检验及验收</w:t>
      </w:r>
    </w:p>
    <w:p w14:paraId="3F05B845">
      <w:pPr>
        <w:adjustRightInd w:val="0"/>
        <w:snapToGrid w:val="0"/>
        <w:spacing w:line="360" w:lineRule="auto"/>
        <w:ind w:firstLine="480" w:firstLineChars="200"/>
        <w:rPr>
          <w:rFonts w:hint="eastAsia" w:ascii="宋体" w:hAnsi="宋体" w:eastAsia="宋体" w:cs="宋体"/>
          <w:bCs/>
          <w:sz w:val="24"/>
          <w:szCs w:val="24"/>
        </w:rPr>
      </w:pPr>
      <w:r>
        <w:rPr>
          <w:rFonts w:hint="eastAsia" w:ascii="宋体" w:hAnsi="宋体" w:eastAsia="宋体" w:cs="宋体"/>
          <w:bCs/>
          <w:sz w:val="24"/>
          <w:szCs w:val="24"/>
        </w:rPr>
        <w:t>1、供货方在物品送到指定地点后由配送学校和供货方共同验收，核对数量，检查食品的外观和质量等，经检验无误共同签署物品配送单（三联单）、接货学校、供货方、采购人各执一份。验收不合格的不予接收。</w:t>
      </w:r>
    </w:p>
    <w:p w14:paraId="597AFFB0">
      <w:pPr>
        <w:adjustRightInd w:val="0"/>
        <w:snapToGrid w:val="0"/>
        <w:spacing w:line="360" w:lineRule="auto"/>
        <w:ind w:firstLine="480" w:firstLineChars="200"/>
        <w:rPr>
          <w:rFonts w:hint="eastAsia" w:ascii="宋体" w:hAnsi="宋体" w:eastAsia="宋体" w:cs="宋体"/>
          <w:bCs/>
          <w:sz w:val="24"/>
          <w:szCs w:val="24"/>
        </w:rPr>
      </w:pPr>
      <w:r>
        <w:rPr>
          <w:rFonts w:hint="eastAsia" w:ascii="宋体" w:hAnsi="宋体" w:eastAsia="宋体" w:cs="宋体"/>
          <w:bCs/>
          <w:sz w:val="24"/>
          <w:szCs w:val="24"/>
        </w:rPr>
        <w:t>2、供货方对最终的产品质量负完全责任。</w:t>
      </w:r>
    </w:p>
    <w:p w14:paraId="5EAFF953">
      <w:pPr>
        <w:adjustRightInd w:val="0"/>
        <w:snapToGrid w:val="0"/>
        <w:spacing w:line="360" w:lineRule="auto"/>
        <w:ind w:firstLine="480" w:firstLineChars="200"/>
        <w:rPr>
          <w:rFonts w:hint="eastAsia" w:ascii="宋体" w:hAnsi="宋体" w:eastAsia="宋体" w:cs="宋体"/>
          <w:bCs/>
          <w:sz w:val="24"/>
          <w:szCs w:val="24"/>
        </w:rPr>
      </w:pPr>
      <w:r>
        <w:rPr>
          <w:rFonts w:hint="eastAsia" w:ascii="宋体" w:hAnsi="宋体" w:eastAsia="宋体" w:cs="宋体"/>
          <w:bCs/>
          <w:sz w:val="24"/>
          <w:szCs w:val="24"/>
        </w:rPr>
        <w:t>3、中标人应当保证所供货物的来源渠道正常，且完全符合竞争性</w:t>
      </w:r>
      <w:r>
        <w:rPr>
          <w:rFonts w:hint="eastAsia" w:ascii="宋体" w:hAnsi="宋体" w:cs="宋体"/>
          <w:bCs/>
          <w:sz w:val="24"/>
          <w:szCs w:val="24"/>
          <w:lang w:eastAsia="zh-CN"/>
        </w:rPr>
        <w:t>谈判</w:t>
      </w:r>
      <w:r>
        <w:rPr>
          <w:rFonts w:hint="eastAsia" w:ascii="宋体" w:hAnsi="宋体" w:eastAsia="宋体" w:cs="宋体"/>
          <w:bCs/>
          <w:sz w:val="24"/>
          <w:szCs w:val="24"/>
        </w:rPr>
        <w:t>文件规定的质量、规格、指标等要求，并对货物质量问题负完全责任。</w:t>
      </w:r>
    </w:p>
    <w:p w14:paraId="1FFCBEB2">
      <w:pPr>
        <w:adjustRightInd w:val="0"/>
        <w:snapToGrid w:val="0"/>
        <w:spacing w:line="360" w:lineRule="auto"/>
        <w:ind w:firstLine="480" w:firstLineChars="200"/>
        <w:rPr>
          <w:rFonts w:hint="eastAsia" w:ascii="宋体" w:hAnsi="宋体" w:eastAsia="宋体" w:cs="宋体"/>
          <w:bCs/>
          <w:sz w:val="24"/>
          <w:szCs w:val="24"/>
        </w:rPr>
      </w:pPr>
      <w:r>
        <w:rPr>
          <w:rFonts w:hint="eastAsia" w:ascii="宋体" w:hAnsi="宋体" w:eastAsia="宋体" w:cs="宋体"/>
          <w:bCs/>
          <w:sz w:val="24"/>
          <w:szCs w:val="24"/>
        </w:rPr>
        <w:t>4、验收依据</w:t>
      </w:r>
    </w:p>
    <w:p w14:paraId="3E2C6877">
      <w:pPr>
        <w:adjustRightInd w:val="0"/>
        <w:snapToGrid w:val="0"/>
        <w:spacing w:line="360" w:lineRule="auto"/>
        <w:ind w:firstLine="480" w:firstLineChars="200"/>
        <w:rPr>
          <w:rFonts w:hint="eastAsia" w:ascii="宋体" w:hAnsi="宋体" w:eastAsia="宋体" w:cs="宋体"/>
          <w:bCs/>
          <w:sz w:val="24"/>
          <w:szCs w:val="24"/>
        </w:rPr>
      </w:pPr>
      <w:r>
        <w:rPr>
          <w:rFonts w:hint="eastAsia" w:ascii="宋体" w:hAnsi="宋体" w:eastAsia="宋体" w:cs="宋体"/>
          <w:bCs/>
          <w:sz w:val="24"/>
          <w:szCs w:val="24"/>
        </w:rPr>
        <w:t>（1）合同；</w:t>
      </w:r>
    </w:p>
    <w:p w14:paraId="48B060BE">
      <w:pPr>
        <w:adjustRightInd w:val="0"/>
        <w:snapToGrid w:val="0"/>
        <w:spacing w:line="360" w:lineRule="auto"/>
        <w:ind w:firstLine="480" w:firstLineChars="200"/>
        <w:rPr>
          <w:rFonts w:hint="eastAsia" w:ascii="宋体" w:hAnsi="宋体" w:eastAsia="宋体" w:cs="宋体"/>
          <w:bCs/>
          <w:sz w:val="24"/>
          <w:szCs w:val="24"/>
        </w:rPr>
      </w:pPr>
      <w:r>
        <w:rPr>
          <w:rFonts w:hint="eastAsia" w:ascii="宋体" w:hAnsi="宋体" w:eastAsia="宋体" w:cs="宋体"/>
          <w:bCs/>
          <w:sz w:val="24"/>
          <w:szCs w:val="24"/>
        </w:rPr>
        <w:t>（2）国家有关的验收标准及规范；</w:t>
      </w:r>
    </w:p>
    <w:p w14:paraId="317C25C0">
      <w:pPr>
        <w:adjustRightInd w:val="0"/>
        <w:snapToGrid w:val="0"/>
        <w:spacing w:line="360" w:lineRule="auto"/>
        <w:ind w:firstLine="480" w:firstLineChars="200"/>
        <w:rPr>
          <w:rFonts w:hint="eastAsia" w:ascii="宋体" w:hAnsi="宋体" w:eastAsia="宋体" w:cs="宋体"/>
          <w:bCs/>
          <w:sz w:val="24"/>
          <w:szCs w:val="24"/>
        </w:rPr>
      </w:pPr>
      <w:r>
        <w:rPr>
          <w:rFonts w:hint="eastAsia" w:ascii="宋体" w:hAnsi="宋体" w:eastAsia="宋体" w:cs="宋体"/>
          <w:bCs/>
          <w:sz w:val="24"/>
          <w:szCs w:val="24"/>
        </w:rPr>
        <w:t>（3）生产厂家的生产标准；</w:t>
      </w:r>
    </w:p>
    <w:p w14:paraId="02C11098">
      <w:pPr>
        <w:adjustRightInd w:val="0"/>
        <w:snapToGrid w:val="0"/>
        <w:spacing w:line="360" w:lineRule="auto"/>
        <w:ind w:firstLine="480" w:firstLineChars="200"/>
        <w:rPr>
          <w:rFonts w:hint="eastAsia" w:ascii="宋体" w:hAnsi="宋体" w:eastAsia="宋体" w:cs="宋体"/>
          <w:bCs/>
          <w:sz w:val="24"/>
          <w:szCs w:val="24"/>
        </w:rPr>
      </w:pPr>
      <w:r>
        <w:rPr>
          <w:rFonts w:hint="eastAsia" w:ascii="宋体" w:hAnsi="宋体" w:eastAsia="宋体" w:cs="宋体"/>
          <w:bCs/>
          <w:sz w:val="24"/>
          <w:szCs w:val="24"/>
        </w:rPr>
        <w:t>（4）竞争性</w:t>
      </w:r>
      <w:r>
        <w:rPr>
          <w:rFonts w:hint="eastAsia" w:ascii="宋体" w:hAnsi="宋体" w:cs="宋体"/>
          <w:bCs/>
          <w:sz w:val="24"/>
          <w:szCs w:val="24"/>
          <w:lang w:eastAsia="zh-CN"/>
        </w:rPr>
        <w:t>谈判</w:t>
      </w:r>
      <w:r>
        <w:rPr>
          <w:rFonts w:hint="eastAsia" w:ascii="宋体" w:hAnsi="宋体" w:eastAsia="宋体" w:cs="宋体"/>
          <w:bCs/>
          <w:sz w:val="24"/>
          <w:szCs w:val="24"/>
        </w:rPr>
        <w:t>文件、竞争性</w:t>
      </w:r>
      <w:r>
        <w:rPr>
          <w:rFonts w:hint="eastAsia" w:ascii="宋体" w:hAnsi="宋体" w:cs="宋体"/>
          <w:bCs/>
          <w:sz w:val="24"/>
          <w:szCs w:val="24"/>
          <w:lang w:eastAsia="zh-CN"/>
        </w:rPr>
        <w:t>谈判</w:t>
      </w:r>
      <w:r>
        <w:rPr>
          <w:rFonts w:hint="eastAsia" w:ascii="宋体" w:hAnsi="宋体" w:eastAsia="宋体" w:cs="宋体"/>
          <w:bCs/>
          <w:sz w:val="24"/>
          <w:szCs w:val="24"/>
        </w:rPr>
        <w:t>响应文件；</w:t>
      </w:r>
    </w:p>
    <w:p w14:paraId="43A64287">
      <w:pPr>
        <w:adjustRightInd w:val="0"/>
        <w:snapToGrid w:val="0"/>
        <w:spacing w:line="360" w:lineRule="auto"/>
        <w:ind w:firstLine="480" w:firstLineChars="200"/>
        <w:rPr>
          <w:rFonts w:hint="eastAsia" w:ascii="宋体" w:hAnsi="宋体" w:eastAsia="宋体" w:cs="宋体"/>
          <w:bCs/>
          <w:sz w:val="24"/>
          <w:szCs w:val="24"/>
        </w:rPr>
      </w:pPr>
      <w:r>
        <w:rPr>
          <w:rFonts w:hint="eastAsia" w:ascii="宋体" w:hAnsi="宋体" w:eastAsia="宋体" w:cs="宋体"/>
          <w:bCs/>
          <w:sz w:val="24"/>
          <w:szCs w:val="24"/>
        </w:rPr>
        <w:t>（5）其他资料。</w:t>
      </w:r>
    </w:p>
    <w:p w14:paraId="5C530E6F">
      <w:pPr>
        <w:adjustRightInd w:val="0"/>
        <w:snapToGrid w:val="0"/>
        <w:spacing w:line="360" w:lineRule="auto"/>
        <w:ind w:firstLine="480" w:firstLineChars="200"/>
        <w:rPr>
          <w:rFonts w:hint="eastAsia" w:ascii="宋体" w:hAnsi="宋体" w:eastAsia="宋体" w:cs="宋体"/>
          <w:bCs/>
          <w:sz w:val="24"/>
          <w:szCs w:val="24"/>
        </w:rPr>
      </w:pPr>
      <w:r>
        <w:rPr>
          <w:rFonts w:hint="eastAsia" w:ascii="宋体" w:hAnsi="宋体" w:eastAsia="宋体" w:cs="宋体"/>
          <w:bCs/>
          <w:sz w:val="24"/>
          <w:szCs w:val="24"/>
        </w:rPr>
        <w:t>第七条 检查要求</w:t>
      </w:r>
    </w:p>
    <w:p w14:paraId="795D9D8D">
      <w:pPr>
        <w:adjustRightInd w:val="0"/>
        <w:snapToGrid w:val="0"/>
        <w:spacing w:line="360" w:lineRule="auto"/>
        <w:ind w:firstLine="480" w:firstLineChars="200"/>
        <w:rPr>
          <w:rFonts w:hint="eastAsia" w:ascii="宋体" w:hAnsi="宋体" w:eastAsia="宋体" w:cs="宋体"/>
          <w:bCs/>
          <w:sz w:val="24"/>
          <w:szCs w:val="24"/>
        </w:rPr>
      </w:pPr>
      <w:r>
        <w:rPr>
          <w:rFonts w:hint="eastAsia" w:ascii="宋体" w:hAnsi="宋体" w:eastAsia="宋体" w:cs="宋体"/>
          <w:bCs/>
          <w:sz w:val="24"/>
          <w:szCs w:val="24"/>
        </w:rPr>
        <w:t>供货商应不定期接受市场监督管理等部门对所提供产品的抽样检查，相关费用由中标供应商承担。供应商提供每批次的内检合格报告，每半年提供一次外检合格报告，甲方有权抽检产品，费用由乙方承担。</w:t>
      </w:r>
    </w:p>
    <w:p w14:paraId="17721346">
      <w:pPr>
        <w:adjustRightInd w:val="0"/>
        <w:snapToGrid w:val="0"/>
        <w:spacing w:line="360" w:lineRule="auto"/>
        <w:ind w:firstLine="480" w:firstLineChars="200"/>
        <w:rPr>
          <w:rFonts w:hint="eastAsia" w:ascii="宋体" w:hAnsi="宋体" w:eastAsia="宋体" w:cs="宋体"/>
          <w:bCs/>
          <w:sz w:val="24"/>
          <w:szCs w:val="24"/>
        </w:rPr>
      </w:pPr>
      <w:r>
        <w:rPr>
          <w:rFonts w:hint="eastAsia" w:ascii="宋体" w:hAnsi="宋体" w:eastAsia="宋体" w:cs="宋体"/>
          <w:bCs/>
          <w:sz w:val="24"/>
          <w:szCs w:val="24"/>
        </w:rPr>
        <w:t>第八条  质量保证</w:t>
      </w:r>
    </w:p>
    <w:p w14:paraId="0E5A3162">
      <w:pPr>
        <w:adjustRightInd w:val="0"/>
        <w:snapToGrid w:val="0"/>
        <w:spacing w:line="360" w:lineRule="auto"/>
        <w:ind w:firstLine="480" w:firstLineChars="200"/>
        <w:rPr>
          <w:rFonts w:hint="eastAsia" w:ascii="宋体" w:hAnsi="宋体" w:eastAsia="宋体" w:cs="宋体"/>
          <w:bCs/>
          <w:sz w:val="24"/>
          <w:szCs w:val="24"/>
        </w:rPr>
      </w:pPr>
      <w:r>
        <w:rPr>
          <w:rFonts w:hint="eastAsia" w:ascii="宋体" w:hAnsi="宋体" w:eastAsia="宋体" w:cs="宋体"/>
          <w:bCs/>
          <w:sz w:val="24"/>
          <w:szCs w:val="24"/>
        </w:rPr>
        <w:t>1、乙方须提供保质、保鲜、安全的合格产品，完全符合竞争性</w:t>
      </w:r>
      <w:r>
        <w:rPr>
          <w:rFonts w:hint="eastAsia" w:ascii="宋体" w:hAnsi="宋体" w:cs="宋体"/>
          <w:bCs/>
          <w:sz w:val="24"/>
          <w:szCs w:val="24"/>
          <w:lang w:eastAsia="zh-CN"/>
        </w:rPr>
        <w:t>谈判</w:t>
      </w:r>
      <w:r>
        <w:rPr>
          <w:rFonts w:hint="eastAsia" w:ascii="宋体" w:hAnsi="宋体" w:eastAsia="宋体" w:cs="宋体"/>
          <w:bCs/>
          <w:sz w:val="24"/>
          <w:szCs w:val="24"/>
        </w:rPr>
        <w:t>文件规定的质量、规格和重量等要求。</w:t>
      </w:r>
    </w:p>
    <w:p w14:paraId="352544FC">
      <w:pPr>
        <w:adjustRightInd w:val="0"/>
        <w:snapToGrid w:val="0"/>
        <w:spacing w:line="360" w:lineRule="auto"/>
        <w:ind w:firstLine="480" w:firstLineChars="200"/>
        <w:rPr>
          <w:rFonts w:hint="eastAsia" w:ascii="宋体" w:hAnsi="宋体" w:eastAsia="宋体" w:cs="宋体"/>
          <w:bCs/>
          <w:sz w:val="24"/>
          <w:szCs w:val="24"/>
        </w:rPr>
      </w:pPr>
      <w:r>
        <w:rPr>
          <w:rFonts w:hint="eastAsia" w:ascii="宋体" w:hAnsi="宋体" w:eastAsia="宋体" w:cs="宋体"/>
          <w:bCs/>
          <w:sz w:val="24"/>
          <w:szCs w:val="24"/>
        </w:rPr>
        <w:t>2、质量标准按照最新颁布的国家标准、行业标准或制造厂家企业标准确定，上述标准不一致的，以严格标准为准。</w:t>
      </w:r>
    </w:p>
    <w:p w14:paraId="71D43CDA">
      <w:pPr>
        <w:adjustRightInd w:val="0"/>
        <w:snapToGrid w:val="0"/>
        <w:spacing w:line="360" w:lineRule="auto"/>
        <w:ind w:firstLine="480" w:firstLineChars="200"/>
        <w:rPr>
          <w:rFonts w:hint="eastAsia" w:ascii="宋体" w:hAnsi="宋体" w:eastAsia="宋体" w:cs="宋体"/>
          <w:bCs/>
          <w:sz w:val="24"/>
          <w:szCs w:val="24"/>
        </w:rPr>
      </w:pPr>
      <w:r>
        <w:rPr>
          <w:rFonts w:hint="eastAsia" w:ascii="宋体" w:hAnsi="宋体" w:eastAsia="宋体" w:cs="宋体"/>
          <w:bCs/>
          <w:sz w:val="24"/>
          <w:szCs w:val="24"/>
        </w:rPr>
        <w:t>3、乙方所提供产品还应符合国家和陕西省、西安市有关安全等规定。</w:t>
      </w:r>
    </w:p>
    <w:p w14:paraId="762F7812">
      <w:pPr>
        <w:adjustRightInd w:val="0"/>
        <w:snapToGrid w:val="0"/>
        <w:spacing w:line="360" w:lineRule="auto"/>
        <w:ind w:firstLine="480" w:firstLineChars="200"/>
        <w:rPr>
          <w:rFonts w:hint="eastAsia" w:ascii="宋体" w:hAnsi="宋体" w:eastAsia="宋体" w:cs="宋体"/>
          <w:bCs/>
          <w:sz w:val="24"/>
          <w:szCs w:val="24"/>
        </w:rPr>
      </w:pPr>
      <w:r>
        <w:rPr>
          <w:rFonts w:hint="eastAsia" w:ascii="宋体" w:hAnsi="宋体" w:eastAsia="宋体" w:cs="宋体"/>
          <w:bCs/>
          <w:sz w:val="24"/>
          <w:szCs w:val="24"/>
        </w:rPr>
        <w:t>4、产品生产质量出现问题，乙方应负责调换（包退），费用由乙方负担，甲方有权到乙方生产场地检查产品质量和生产进度。</w:t>
      </w:r>
    </w:p>
    <w:p w14:paraId="161E3491">
      <w:pPr>
        <w:adjustRightInd w:val="0"/>
        <w:snapToGrid w:val="0"/>
        <w:spacing w:line="360" w:lineRule="auto"/>
        <w:ind w:firstLine="480" w:firstLineChars="200"/>
        <w:rPr>
          <w:rFonts w:hint="eastAsia" w:ascii="宋体" w:hAnsi="宋体" w:eastAsia="宋体" w:cs="宋体"/>
          <w:bCs/>
          <w:sz w:val="24"/>
          <w:szCs w:val="24"/>
        </w:rPr>
      </w:pPr>
      <w:r>
        <w:rPr>
          <w:rFonts w:hint="eastAsia" w:ascii="宋体" w:hAnsi="宋体" w:eastAsia="宋体" w:cs="宋体"/>
          <w:bCs/>
          <w:sz w:val="24"/>
          <w:szCs w:val="24"/>
        </w:rPr>
        <w:t>第九条  不可抗力</w:t>
      </w:r>
    </w:p>
    <w:p w14:paraId="1FD3530E">
      <w:pPr>
        <w:adjustRightInd w:val="0"/>
        <w:snapToGrid w:val="0"/>
        <w:spacing w:line="360" w:lineRule="auto"/>
        <w:ind w:firstLine="480" w:firstLineChars="200"/>
        <w:rPr>
          <w:rFonts w:hint="eastAsia" w:ascii="宋体" w:hAnsi="宋体" w:eastAsia="宋体" w:cs="宋体"/>
          <w:bCs/>
          <w:sz w:val="24"/>
          <w:szCs w:val="24"/>
        </w:rPr>
      </w:pPr>
      <w:r>
        <w:rPr>
          <w:rFonts w:hint="eastAsia" w:ascii="宋体" w:hAnsi="宋体" w:eastAsia="宋体" w:cs="宋体"/>
          <w:bCs/>
          <w:sz w:val="24"/>
          <w:szCs w:val="24"/>
        </w:rPr>
        <w:t>1、签约双方任一方由于受诸如严重火灾、洪水、台风、地震等不可抗力事故的影响而不能执行合同时，履行合同的期限应予以延长，则延长的期限应相当于事故所影响的时间。不可抗力系指双方在缔结本合同时所不能预见的，并且它的发生及其后果是无法避免和无法克服的。</w:t>
      </w:r>
    </w:p>
    <w:p w14:paraId="0925F24B">
      <w:pPr>
        <w:adjustRightInd w:val="0"/>
        <w:snapToGrid w:val="0"/>
        <w:spacing w:line="360" w:lineRule="auto"/>
        <w:ind w:firstLine="480" w:firstLineChars="200"/>
        <w:rPr>
          <w:rFonts w:hint="eastAsia" w:ascii="宋体" w:hAnsi="宋体" w:eastAsia="宋体" w:cs="宋体"/>
          <w:bCs/>
          <w:sz w:val="24"/>
          <w:szCs w:val="24"/>
        </w:rPr>
      </w:pPr>
      <w:r>
        <w:rPr>
          <w:rFonts w:hint="eastAsia" w:ascii="宋体" w:hAnsi="宋体" w:eastAsia="宋体" w:cs="宋体"/>
          <w:bCs/>
          <w:sz w:val="24"/>
          <w:szCs w:val="24"/>
        </w:rPr>
        <w:t>2、受阻一方应在不可抗力发生后尽快用传真通知对方并于事故发生后7天内将有关当局出具的证明文件用特快专递或挂号信寄给对方审阅确认。一旦不可抗力事故的影响持续10天以上，双方应通过友好协商在合理的时间内达成进一步履行合同的协议。</w:t>
      </w:r>
    </w:p>
    <w:p w14:paraId="0FCCCF30">
      <w:pPr>
        <w:adjustRightInd w:val="0"/>
        <w:snapToGrid w:val="0"/>
        <w:spacing w:line="560" w:lineRule="exact"/>
        <w:ind w:firstLine="480" w:firstLineChars="200"/>
        <w:jc w:val="left"/>
        <w:rPr>
          <w:rFonts w:hint="eastAsia" w:ascii="宋体" w:hAnsi="宋体" w:eastAsia="宋体" w:cs="宋体"/>
          <w:bCs/>
          <w:sz w:val="24"/>
          <w:szCs w:val="24"/>
        </w:rPr>
      </w:pPr>
      <w:r>
        <w:rPr>
          <w:rFonts w:hint="eastAsia" w:ascii="宋体" w:hAnsi="宋体" w:eastAsia="宋体" w:cs="宋体"/>
          <w:bCs/>
          <w:sz w:val="24"/>
          <w:szCs w:val="24"/>
        </w:rPr>
        <w:t>第十条  合同终止</w:t>
      </w:r>
    </w:p>
    <w:p w14:paraId="3F3510CC">
      <w:pPr>
        <w:adjustRightInd w:val="0"/>
        <w:snapToGrid w:val="0"/>
        <w:spacing w:line="360" w:lineRule="auto"/>
        <w:ind w:firstLine="480" w:firstLineChars="200"/>
        <w:rPr>
          <w:rFonts w:hint="eastAsia" w:ascii="宋体" w:hAnsi="宋体" w:eastAsia="宋体" w:cs="宋体"/>
          <w:bCs/>
          <w:sz w:val="24"/>
          <w:szCs w:val="24"/>
        </w:rPr>
      </w:pPr>
      <w:r>
        <w:rPr>
          <w:rFonts w:hint="eastAsia" w:ascii="宋体" w:hAnsi="宋体" w:eastAsia="宋体" w:cs="宋体"/>
          <w:bCs/>
          <w:sz w:val="24"/>
          <w:szCs w:val="24"/>
        </w:rPr>
        <w:t>乙方有下列情形之一者，甲方有权终止合同，造成一切损失及后果由乙方全部承担。</w:t>
      </w:r>
    </w:p>
    <w:p w14:paraId="71D229F7">
      <w:pPr>
        <w:adjustRightInd w:val="0"/>
        <w:snapToGrid w:val="0"/>
        <w:spacing w:line="360" w:lineRule="auto"/>
        <w:ind w:firstLine="480" w:firstLineChars="200"/>
        <w:rPr>
          <w:rFonts w:hint="eastAsia" w:ascii="宋体" w:hAnsi="宋体" w:eastAsia="宋体" w:cs="宋体"/>
          <w:bCs/>
          <w:sz w:val="24"/>
          <w:szCs w:val="24"/>
        </w:rPr>
      </w:pPr>
      <w:r>
        <w:rPr>
          <w:rFonts w:hint="eastAsia" w:ascii="宋体" w:hAnsi="宋体" w:eastAsia="宋体" w:cs="宋体"/>
          <w:bCs/>
          <w:sz w:val="24"/>
          <w:szCs w:val="24"/>
        </w:rPr>
        <w:t>1、违反我国有关法律法规的；</w:t>
      </w:r>
    </w:p>
    <w:p w14:paraId="26A0C9FD">
      <w:pPr>
        <w:adjustRightInd w:val="0"/>
        <w:snapToGrid w:val="0"/>
        <w:spacing w:line="360" w:lineRule="auto"/>
        <w:ind w:firstLine="480" w:firstLineChars="200"/>
        <w:rPr>
          <w:rFonts w:hint="eastAsia" w:ascii="宋体" w:hAnsi="宋体" w:eastAsia="宋体" w:cs="宋体"/>
          <w:bCs/>
          <w:sz w:val="24"/>
          <w:szCs w:val="24"/>
        </w:rPr>
      </w:pPr>
      <w:r>
        <w:rPr>
          <w:rFonts w:hint="eastAsia" w:ascii="宋体" w:hAnsi="宋体" w:eastAsia="宋体" w:cs="宋体"/>
          <w:bCs/>
          <w:sz w:val="24"/>
          <w:szCs w:val="24"/>
        </w:rPr>
        <w:t>2、配送的食材原料不合格，拒不更换的；</w:t>
      </w:r>
    </w:p>
    <w:p w14:paraId="0171C010">
      <w:pPr>
        <w:adjustRightInd w:val="0"/>
        <w:snapToGrid w:val="0"/>
        <w:spacing w:line="360" w:lineRule="auto"/>
        <w:ind w:firstLine="480" w:firstLineChars="200"/>
        <w:rPr>
          <w:rFonts w:hint="eastAsia" w:ascii="宋体" w:hAnsi="宋体" w:eastAsia="宋体" w:cs="宋体"/>
          <w:bCs/>
          <w:sz w:val="24"/>
          <w:szCs w:val="24"/>
        </w:rPr>
      </w:pPr>
      <w:r>
        <w:rPr>
          <w:rFonts w:hint="eastAsia" w:ascii="宋体" w:hAnsi="宋体" w:eastAsia="宋体" w:cs="宋体"/>
          <w:bCs/>
          <w:sz w:val="24"/>
          <w:szCs w:val="24"/>
        </w:rPr>
        <w:t>3、配送的食材造成学生食品安全事故的；</w:t>
      </w:r>
    </w:p>
    <w:p w14:paraId="03E1CE6D">
      <w:pPr>
        <w:adjustRightInd w:val="0"/>
        <w:snapToGrid w:val="0"/>
        <w:spacing w:line="360" w:lineRule="auto"/>
        <w:ind w:firstLine="480" w:firstLineChars="200"/>
        <w:rPr>
          <w:rFonts w:hint="eastAsia" w:ascii="宋体" w:hAnsi="宋体" w:eastAsia="宋体" w:cs="宋体"/>
          <w:bCs/>
          <w:sz w:val="24"/>
          <w:szCs w:val="24"/>
        </w:rPr>
      </w:pPr>
      <w:r>
        <w:rPr>
          <w:rFonts w:hint="eastAsia" w:ascii="宋体" w:hAnsi="宋体" w:eastAsia="宋体" w:cs="宋体"/>
          <w:bCs/>
          <w:sz w:val="24"/>
          <w:szCs w:val="24"/>
        </w:rPr>
        <w:t>4、在甲方组织的考核中连续2次不合格的；</w:t>
      </w:r>
    </w:p>
    <w:p w14:paraId="08B8F050">
      <w:pPr>
        <w:adjustRightInd w:val="0"/>
        <w:snapToGrid w:val="0"/>
        <w:spacing w:line="360" w:lineRule="auto"/>
        <w:ind w:firstLine="480" w:firstLineChars="200"/>
        <w:rPr>
          <w:rFonts w:hint="eastAsia" w:ascii="宋体" w:hAnsi="宋体" w:eastAsia="宋体" w:cs="宋体"/>
          <w:bCs/>
          <w:sz w:val="24"/>
          <w:szCs w:val="24"/>
        </w:rPr>
      </w:pPr>
      <w:r>
        <w:rPr>
          <w:rFonts w:hint="eastAsia" w:ascii="宋体" w:hAnsi="宋体" w:eastAsia="宋体" w:cs="宋体"/>
          <w:bCs/>
          <w:sz w:val="24"/>
          <w:szCs w:val="24"/>
        </w:rPr>
        <w:t>5、除不可抗力外，不按时按量将食材配送到校，影响学校师生正常生活的；</w:t>
      </w:r>
    </w:p>
    <w:p w14:paraId="39E7DB54">
      <w:pPr>
        <w:adjustRightInd w:val="0"/>
        <w:snapToGrid w:val="0"/>
        <w:spacing w:line="360" w:lineRule="auto"/>
        <w:ind w:firstLine="480" w:firstLineChars="200"/>
        <w:rPr>
          <w:rFonts w:hint="eastAsia" w:ascii="宋体" w:hAnsi="宋体" w:eastAsia="宋体" w:cs="宋体"/>
          <w:bCs/>
          <w:sz w:val="24"/>
          <w:szCs w:val="24"/>
        </w:rPr>
      </w:pPr>
      <w:r>
        <w:rPr>
          <w:rFonts w:hint="eastAsia" w:ascii="宋体" w:hAnsi="宋体" w:eastAsia="宋体" w:cs="宋体"/>
          <w:bCs/>
          <w:sz w:val="24"/>
          <w:szCs w:val="24"/>
        </w:rPr>
        <w:t>6、未经甲方同意私自配送采购范围外的食材原料的；</w:t>
      </w:r>
    </w:p>
    <w:p w14:paraId="0ED5EACF">
      <w:pPr>
        <w:adjustRightInd w:val="0"/>
        <w:snapToGrid w:val="0"/>
        <w:spacing w:line="360" w:lineRule="auto"/>
        <w:ind w:firstLine="480" w:firstLineChars="200"/>
        <w:rPr>
          <w:rFonts w:hint="eastAsia" w:ascii="宋体" w:hAnsi="宋体" w:eastAsia="宋体" w:cs="宋体"/>
          <w:bCs/>
          <w:sz w:val="24"/>
          <w:szCs w:val="24"/>
        </w:rPr>
      </w:pPr>
      <w:r>
        <w:rPr>
          <w:rFonts w:hint="eastAsia" w:ascii="宋体" w:hAnsi="宋体" w:eastAsia="宋体" w:cs="宋体"/>
          <w:bCs/>
          <w:sz w:val="24"/>
          <w:szCs w:val="24"/>
        </w:rPr>
        <w:t>7、不按有关部门核定的价格执行，私自定价从中牟取暴利；</w:t>
      </w:r>
    </w:p>
    <w:p w14:paraId="3F9DC338">
      <w:pPr>
        <w:adjustRightInd w:val="0"/>
        <w:snapToGrid w:val="0"/>
        <w:spacing w:line="360" w:lineRule="auto"/>
        <w:ind w:firstLine="480" w:firstLineChars="200"/>
        <w:rPr>
          <w:rFonts w:hint="eastAsia" w:ascii="宋体" w:hAnsi="宋体" w:eastAsia="宋体" w:cs="宋体"/>
          <w:bCs/>
          <w:sz w:val="24"/>
          <w:szCs w:val="24"/>
        </w:rPr>
      </w:pPr>
      <w:r>
        <w:rPr>
          <w:rFonts w:hint="eastAsia" w:ascii="宋体" w:hAnsi="宋体" w:eastAsia="宋体" w:cs="宋体"/>
          <w:bCs/>
          <w:sz w:val="24"/>
          <w:szCs w:val="24"/>
        </w:rPr>
        <w:t>8、在社会上造成不良影响或负面效应的。</w:t>
      </w:r>
    </w:p>
    <w:p w14:paraId="225701C7">
      <w:pPr>
        <w:adjustRightInd w:val="0"/>
        <w:snapToGrid w:val="0"/>
        <w:spacing w:line="360" w:lineRule="auto"/>
        <w:ind w:firstLine="480" w:firstLineChars="200"/>
        <w:rPr>
          <w:rFonts w:hint="eastAsia" w:ascii="宋体" w:hAnsi="宋体" w:eastAsia="宋体" w:cs="宋体"/>
          <w:bCs/>
          <w:sz w:val="24"/>
          <w:szCs w:val="24"/>
        </w:rPr>
      </w:pPr>
      <w:r>
        <w:rPr>
          <w:rFonts w:hint="eastAsia" w:ascii="宋体" w:hAnsi="宋体" w:eastAsia="宋体" w:cs="宋体"/>
          <w:bCs/>
          <w:sz w:val="24"/>
          <w:szCs w:val="24"/>
        </w:rPr>
        <w:t>第十一条  违约责任</w:t>
      </w:r>
    </w:p>
    <w:p w14:paraId="7EEBFF3D">
      <w:pPr>
        <w:adjustRightInd w:val="0"/>
        <w:snapToGrid w:val="0"/>
        <w:spacing w:line="360" w:lineRule="auto"/>
        <w:ind w:firstLine="480" w:firstLineChars="200"/>
        <w:rPr>
          <w:rFonts w:hint="eastAsia" w:ascii="宋体" w:hAnsi="宋体" w:eastAsia="宋体" w:cs="宋体"/>
          <w:bCs/>
          <w:sz w:val="24"/>
          <w:szCs w:val="24"/>
        </w:rPr>
      </w:pPr>
      <w:r>
        <w:rPr>
          <w:rFonts w:hint="eastAsia" w:ascii="宋体" w:hAnsi="宋体" w:eastAsia="宋体" w:cs="宋体"/>
          <w:bCs/>
          <w:sz w:val="24"/>
          <w:szCs w:val="24"/>
        </w:rPr>
        <w:t>在合同实施过程中，若乙方未按竞争性</w:t>
      </w:r>
      <w:r>
        <w:rPr>
          <w:rFonts w:hint="eastAsia" w:ascii="宋体" w:hAnsi="宋体" w:cs="宋体"/>
          <w:bCs/>
          <w:sz w:val="24"/>
          <w:szCs w:val="24"/>
          <w:lang w:eastAsia="zh-CN"/>
        </w:rPr>
        <w:t>谈判</w:t>
      </w:r>
      <w:r>
        <w:rPr>
          <w:rFonts w:hint="eastAsia" w:ascii="宋体" w:hAnsi="宋体" w:eastAsia="宋体" w:cs="宋体"/>
          <w:bCs/>
          <w:sz w:val="24"/>
          <w:szCs w:val="24"/>
        </w:rPr>
        <w:t>响应文件中的承诺及合同要求提供货物，甲方将提出限期整改要求，乙方应根据要求及时整改。若乙方未按要求进行整改，甲方有权单方面终止合同。</w:t>
      </w:r>
    </w:p>
    <w:p w14:paraId="3EABC018">
      <w:pPr>
        <w:adjustRightInd w:val="0"/>
        <w:snapToGrid w:val="0"/>
        <w:spacing w:line="360" w:lineRule="auto"/>
        <w:ind w:firstLine="480" w:firstLineChars="200"/>
        <w:rPr>
          <w:rFonts w:hint="eastAsia" w:ascii="宋体" w:hAnsi="宋体" w:eastAsia="宋体" w:cs="宋体"/>
          <w:bCs/>
          <w:sz w:val="24"/>
          <w:szCs w:val="24"/>
        </w:rPr>
      </w:pPr>
      <w:r>
        <w:rPr>
          <w:rFonts w:hint="eastAsia" w:ascii="宋体" w:hAnsi="宋体" w:eastAsia="宋体" w:cs="宋体"/>
          <w:bCs/>
          <w:sz w:val="24"/>
          <w:szCs w:val="24"/>
        </w:rPr>
        <w:t>第十二条  解决合同纠纷的方式</w:t>
      </w:r>
    </w:p>
    <w:p w14:paraId="5DF53926">
      <w:pPr>
        <w:adjustRightInd w:val="0"/>
        <w:snapToGrid w:val="0"/>
        <w:spacing w:line="360" w:lineRule="auto"/>
        <w:ind w:firstLine="480" w:firstLineChars="200"/>
        <w:rPr>
          <w:rFonts w:hint="eastAsia" w:ascii="宋体" w:hAnsi="宋体" w:eastAsia="宋体" w:cs="宋体"/>
          <w:bCs/>
          <w:sz w:val="24"/>
          <w:szCs w:val="24"/>
        </w:rPr>
      </w:pPr>
      <w:r>
        <w:rPr>
          <w:rFonts w:hint="eastAsia" w:ascii="宋体" w:hAnsi="宋体" w:eastAsia="宋体" w:cs="宋体"/>
          <w:bCs/>
          <w:sz w:val="24"/>
          <w:szCs w:val="24"/>
        </w:rPr>
        <w:t>1、执行本合同中发生的或与本合同有关的争端，双方应通过友好协商的方式解决，若在30天内不能达成协议时，应提交仲裁。</w:t>
      </w:r>
    </w:p>
    <w:p w14:paraId="239E5E3E">
      <w:pPr>
        <w:adjustRightInd w:val="0"/>
        <w:snapToGrid w:val="0"/>
        <w:spacing w:line="360" w:lineRule="auto"/>
        <w:ind w:firstLine="480" w:firstLineChars="200"/>
        <w:rPr>
          <w:rFonts w:hint="eastAsia" w:ascii="宋体" w:hAnsi="宋体" w:eastAsia="宋体" w:cs="宋体"/>
          <w:bCs/>
          <w:sz w:val="24"/>
          <w:szCs w:val="24"/>
        </w:rPr>
      </w:pPr>
      <w:r>
        <w:rPr>
          <w:rFonts w:hint="eastAsia" w:ascii="宋体" w:hAnsi="宋体" w:eastAsia="宋体" w:cs="宋体"/>
          <w:bCs/>
          <w:sz w:val="24"/>
          <w:szCs w:val="24"/>
        </w:rPr>
        <w:t>2、合同争端的仲裁应由甲方当地仲裁委员会进行仲裁，其仲裁裁决对双方具有约束力。</w:t>
      </w:r>
    </w:p>
    <w:p w14:paraId="0D923888">
      <w:pPr>
        <w:adjustRightInd w:val="0"/>
        <w:snapToGrid w:val="0"/>
        <w:spacing w:line="360" w:lineRule="auto"/>
        <w:ind w:firstLine="480" w:firstLineChars="200"/>
        <w:rPr>
          <w:rFonts w:hint="eastAsia" w:ascii="宋体" w:hAnsi="宋体" w:eastAsia="宋体" w:cs="宋体"/>
          <w:bCs/>
          <w:sz w:val="24"/>
          <w:szCs w:val="24"/>
        </w:rPr>
      </w:pPr>
      <w:r>
        <w:rPr>
          <w:rFonts w:hint="eastAsia" w:ascii="宋体" w:hAnsi="宋体" w:eastAsia="宋体" w:cs="宋体"/>
          <w:bCs/>
          <w:sz w:val="24"/>
          <w:szCs w:val="24"/>
        </w:rPr>
        <w:t>3、除另有裁决外，仲裁费应由败诉方负担。</w:t>
      </w:r>
    </w:p>
    <w:p w14:paraId="3D8F823D">
      <w:pPr>
        <w:adjustRightInd w:val="0"/>
        <w:snapToGrid w:val="0"/>
        <w:spacing w:line="360" w:lineRule="auto"/>
        <w:ind w:firstLine="480" w:firstLineChars="200"/>
        <w:rPr>
          <w:rFonts w:hint="eastAsia" w:ascii="宋体" w:hAnsi="宋体" w:eastAsia="宋体" w:cs="宋体"/>
          <w:bCs/>
          <w:sz w:val="24"/>
          <w:szCs w:val="24"/>
        </w:rPr>
      </w:pPr>
      <w:r>
        <w:rPr>
          <w:rFonts w:hint="eastAsia" w:ascii="宋体" w:hAnsi="宋体" w:eastAsia="宋体" w:cs="宋体"/>
          <w:bCs/>
          <w:sz w:val="24"/>
          <w:szCs w:val="24"/>
        </w:rPr>
        <w:t>4、在仲裁期间，除正在进行仲裁部分外，合同其它部分继续执行。</w:t>
      </w:r>
    </w:p>
    <w:p w14:paraId="458426EA">
      <w:pPr>
        <w:adjustRightInd w:val="0"/>
        <w:snapToGrid w:val="0"/>
        <w:spacing w:line="360" w:lineRule="auto"/>
        <w:ind w:firstLine="480" w:firstLineChars="200"/>
        <w:rPr>
          <w:rFonts w:hint="eastAsia" w:ascii="宋体" w:hAnsi="宋体" w:eastAsia="宋体" w:cs="宋体"/>
          <w:bCs/>
          <w:sz w:val="24"/>
          <w:szCs w:val="24"/>
        </w:rPr>
      </w:pPr>
      <w:r>
        <w:rPr>
          <w:rFonts w:hint="eastAsia" w:ascii="宋体" w:hAnsi="宋体" w:eastAsia="宋体" w:cs="宋体"/>
          <w:bCs/>
          <w:sz w:val="24"/>
          <w:szCs w:val="24"/>
        </w:rPr>
        <w:t>第十三条  合同的修订和补充</w:t>
      </w:r>
    </w:p>
    <w:p w14:paraId="79D5C728">
      <w:pPr>
        <w:adjustRightInd w:val="0"/>
        <w:snapToGrid w:val="0"/>
        <w:spacing w:line="360" w:lineRule="auto"/>
        <w:ind w:firstLine="480" w:firstLineChars="200"/>
        <w:rPr>
          <w:rFonts w:hint="eastAsia" w:ascii="宋体" w:hAnsi="宋体" w:eastAsia="宋体" w:cs="宋体"/>
          <w:bCs/>
          <w:sz w:val="24"/>
          <w:szCs w:val="24"/>
        </w:rPr>
      </w:pPr>
      <w:r>
        <w:rPr>
          <w:rFonts w:hint="eastAsia" w:ascii="宋体" w:hAnsi="宋体" w:eastAsia="宋体" w:cs="宋体"/>
          <w:bCs/>
          <w:sz w:val="24"/>
          <w:szCs w:val="24"/>
        </w:rPr>
        <w:t>对合同款做出的任何改动，均须由双方签署书面的合同修改书。</w:t>
      </w:r>
    </w:p>
    <w:p w14:paraId="194635CE">
      <w:pPr>
        <w:adjustRightInd w:val="0"/>
        <w:snapToGrid w:val="0"/>
        <w:spacing w:line="360" w:lineRule="auto"/>
        <w:ind w:firstLine="480" w:firstLineChars="200"/>
        <w:rPr>
          <w:rFonts w:hint="eastAsia" w:ascii="宋体" w:hAnsi="宋体" w:eastAsia="宋体" w:cs="宋体"/>
          <w:bCs/>
          <w:sz w:val="24"/>
          <w:szCs w:val="24"/>
        </w:rPr>
      </w:pPr>
      <w:r>
        <w:rPr>
          <w:rFonts w:hint="eastAsia" w:ascii="宋体" w:hAnsi="宋体" w:eastAsia="宋体" w:cs="宋体"/>
          <w:bCs/>
          <w:sz w:val="24"/>
          <w:szCs w:val="24"/>
        </w:rPr>
        <w:t>第十四条  货物详细情况</w:t>
      </w:r>
    </w:p>
    <w:p w14:paraId="358AE572">
      <w:pPr>
        <w:adjustRightInd w:val="0"/>
        <w:snapToGrid w:val="0"/>
        <w:spacing w:line="360" w:lineRule="auto"/>
        <w:ind w:firstLine="480" w:firstLineChars="200"/>
        <w:rPr>
          <w:rFonts w:hint="eastAsia" w:ascii="宋体" w:hAnsi="宋体" w:eastAsia="宋体" w:cs="宋体"/>
          <w:bCs/>
          <w:sz w:val="24"/>
          <w:szCs w:val="24"/>
        </w:rPr>
      </w:pPr>
      <w:r>
        <w:rPr>
          <w:rFonts w:hint="eastAsia" w:ascii="宋体" w:hAnsi="宋体" w:eastAsia="宋体" w:cs="宋体"/>
          <w:bCs/>
          <w:sz w:val="24"/>
          <w:szCs w:val="24"/>
        </w:rPr>
        <w:t>应附与采购时投标内容相同的附件。</w:t>
      </w:r>
    </w:p>
    <w:p w14:paraId="2C911670">
      <w:pPr>
        <w:adjustRightInd w:val="0"/>
        <w:snapToGrid w:val="0"/>
        <w:spacing w:line="360" w:lineRule="auto"/>
        <w:ind w:firstLine="480" w:firstLineChars="200"/>
        <w:rPr>
          <w:rFonts w:hint="eastAsia" w:ascii="宋体" w:hAnsi="宋体" w:eastAsia="宋体" w:cs="宋体"/>
          <w:bCs/>
          <w:sz w:val="24"/>
          <w:szCs w:val="24"/>
        </w:rPr>
      </w:pPr>
      <w:r>
        <w:rPr>
          <w:rFonts w:hint="eastAsia" w:ascii="宋体" w:hAnsi="宋体" w:eastAsia="宋体" w:cs="宋体"/>
          <w:bCs/>
          <w:sz w:val="24"/>
          <w:szCs w:val="24"/>
        </w:rPr>
        <w:t>第十五条  合同生效执行</w:t>
      </w:r>
    </w:p>
    <w:p w14:paraId="5516A03A">
      <w:pPr>
        <w:adjustRightInd w:val="0"/>
        <w:snapToGrid w:val="0"/>
        <w:spacing w:line="360" w:lineRule="auto"/>
        <w:ind w:firstLine="480" w:firstLineChars="200"/>
        <w:rPr>
          <w:rFonts w:hint="eastAsia" w:ascii="宋体" w:hAnsi="宋体" w:eastAsia="宋体" w:cs="宋体"/>
          <w:bCs/>
          <w:sz w:val="24"/>
          <w:szCs w:val="24"/>
        </w:rPr>
      </w:pPr>
      <w:r>
        <w:rPr>
          <w:rFonts w:hint="eastAsia" w:ascii="宋体" w:hAnsi="宋体" w:eastAsia="宋体" w:cs="宋体"/>
          <w:bCs/>
          <w:sz w:val="24"/>
          <w:szCs w:val="24"/>
        </w:rPr>
        <w:t>1、本合同自双方签章之日起生效。</w:t>
      </w:r>
    </w:p>
    <w:p w14:paraId="600DAD3B">
      <w:pPr>
        <w:adjustRightInd w:val="0"/>
        <w:snapToGrid w:val="0"/>
        <w:spacing w:line="360" w:lineRule="auto"/>
        <w:ind w:firstLine="480" w:firstLineChars="200"/>
        <w:rPr>
          <w:rFonts w:hint="eastAsia" w:ascii="宋体" w:hAnsi="宋体" w:eastAsia="宋体" w:cs="宋体"/>
          <w:bCs/>
          <w:sz w:val="24"/>
          <w:szCs w:val="24"/>
        </w:rPr>
      </w:pPr>
      <w:r>
        <w:rPr>
          <w:rFonts w:hint="eastAsia" w:ascii="宋体" w:hAnsi="宋体" w:eastAsia="宋体" w:cs="宋体"/>
          <w:bCs/>
          <w:sz w:val="24"/>
          <w:szCs w:val="24"/>
        </w:rPr>
        <w:t>2、本合同一式伍份，甲方执叁份，乙方执两份，具有同等法律效力。</w:t>
      </w:r>
    </w:p>
    <w:p w14:paraId="07BB9A50">
      <w:pPr>
        <w:adjustRightInd w:val="0"/>
        <w:snapToGrid w:val="0"/>
        <w:spacing w:line="360" w:lineRule="auto"/>
        <w:ind w:firstLine="480" w:firstLineChars="200"/>
        <w:rPr>
          <w:rFonts w:hint="eastAsia" w:ascii="宋体" w:hAnsi="宋体" w:eastAsia="宋体" w:cs="宋体"/>
          <w:bCs/>
          <w:sz w:val="24"/>
          <w:szCs w:val="24"/>
        </w:rPr>
      </w:pPr>
      <w:r>
        <w:rPr>
          <w:rFonts w:hint="eastAsia" w:ascii="宋体" w:hAnsi="宋体" w:eastAsia="宋体" w:cs="宋体"/>
          <w:bCs/>
          <w:sz w:val="24"/>
          <w:szCs w:val="24"/>
        </w:rPr>
        <w:t>3、本合同未尽事宜，由双方友好协商解决。</w:t>
      </w:r>
    </w:p>
    <w:p w14:paraId="431B956D">
      <w:pPr>
        <w:adjustRightInd w:val="0"/>
        <w:snapToGrid w:val="0"/>
        <w:spacing w:line="360" w:lineRule="auto"/>
        <w:ind w:firstLine="480" w:firstLineChars="200"/>
        <w:rPr>
          <w:rFonts w:hint="eastAsia" w:ascii="宋体" w:hAnsi="宋体" w:eastAsia="宋体" w:cs="宋体"/>
          <w:bCs/>
          <w:sz w:val="24"/>
          <w:szCs w:val="24"/>
        </w:rPr>
      </w:pPr>
    </w:p>
    <w:p w14:paraId="14405071">
      <w:pPr>
        <w:adjustRightInd w:val="0"/>
        <w:snapToGrid w:val="0"/>
        <w:spacing w:line="360" w:lineRule="auto"/>
        <w:ind w:firstLine="480" w:firstLineChars="200"/>
        <w:rPr>
          <w:rFonts w:hint="eastAsia" w:ascii="宋体" w:hAnsi="宋体" w:eastAsia="宋体" w:cs="宋体"/>
          <w:bCs/>
          <w:sz w:val="24"/>
          <w:szCs w:val="24"/>
        </w:rPr>
      </w:pPr>
      <w:r>
        <w:rPr>
          <w:rFonts w:hint="eastAsia" w:ascii="宋体" w:hAnsi="宋体" w:eastAsia="宋体" w:cs="宋体"/>
          <w:bCs/>
          <w:sz w:val="24"/>
          <w:szCs w:val="24"/>
        </w:rPr>
        <w:t>甲方（盖章）：               乙方（盖章）：</w:t>
      </w:r>
    </w:p>
    <w:p w14:paraId="025AAA5D">
      <w:pPr>
        <w:adjustRightInd w:val="0"/>
        <w:snapToGrid w:val="0"/>
        <w:spacing w:line="360" w:lineRule="auto"/>
        <w:ind w:firstLine="480" w:firstLineChars="200"/>
        <w:rPr>
          <w:rFonts w:hint="eastAsia" w:ascii="宋体" w:hAnsi="宋体" w:eastAsia="宋体" w:cs="宋体"/>
          <w:bCs/>
          <w:sz w:val="24"/>
          <w:szCs w:val="24"/>
        </w:rPr>
      </w:pPr>
      <w:r>
        <w:rPr>
          <w:rFonts w:hint="eastAsia" w:ascii="宋体" w:hAnsi="宋体" w:eastAsia="宋体" w:cs="宋体"/>
          <w:bCs/>
          <w:sz w:val="24"/>
          <w:szCs w:val="24"/>
        </w:rPr>
        <w:t>法人授权代表人（签字）：     法人授权代表人（签字）：</w:t>
      </w:r>
    </w:p>
    <w:p w14:paraId="6B4664CF">
      <w:pPr>
        <w:adjustRightInd w:val="0"/>
        <w:snapToGrid w:val="0"/>
        <w:spacing w:line="360" w:lineRule="auto"/>
        <w:ind w:firstLine="480" w:firstLineChars="200"/>
        <w:rPr>
          <w:rFonts w:hint="eastAsia" w:ascii="宋体" w:hAnsi="宋体" w:eastAsia="宋体" w:cs="宋体"/>
          <w:bCs/>
          <w:sz w:val="24"/>
          <w:szCs w:val="24"/>
        </w:rPr>
      </w:pPr>
      <w:r>
        <w:rPr>
          <w:rFonts w:hint="eastAsia" w:ascii="宋体" w:hAnsi="宋体" w:eastAsia="宋体" w:cs="宋体"/>
          <w:bCs/>
          <w:sz w:val="24"/>
          <w:szCs w:val="24"/>
        </w:rPr>
        <w:t>联系电话：                   联系电话：</w:t>
      </w:r>
    </w:p>
    <w:p w14:paraId="06964DCB">
      <w:pPr>
        <w:adjustRightInd w:val="0"/>
        <w:snapToGrid w:val="0"/>
        <w:spacing w:line="360" w:lineRule="auto"/>
        <w:ind w:firstLine="480" w:firstLineChars="200"/>
        <w:rPr>
          <w:rFonts w:hint="eastAsia" w:ascii="宋体" w:hAnsi="宋体" w:eastAsia="宋体" w:cs="宋体"/>
          <w:bCs/>
          <w:sz w:val="24"/>
          <w:szCs w:val="24"/>
        </w:rPr>
      </w:pPr>
      <w:r>
        <w:rPr>
          <w:rFonts w:hint="eastAsia" w:ascii="宋体" w:hAnsi="宋体" w:eastAsia="宋体" w:cs="宋体"/>
          <w:bCs/>
          <w:sz w:val="24"/>
          <w:szCs w:val="24"/>
        </w:rPr>
        <w:t>开户银行：                   开户银行：</w:t>
      </w:r>
    </w:p>
    <w:p w14:paraId="4F332136">
      <w:pPr>
        <w:adjustRightInd w:val="0"/>
        <w:snapToGrid w:val="0"/>
        <w:spacing w:line="360" w:lineRule="auto"/>
        <w:ind w:firstLine="480" w:firstLineChars="200"/>
        <w:rPr>
          <w:rFonts w:hint="eastAsia" w:ascii="宋体" w:hAnsi="宋体" w:eastAsia="宋体" w:cs="宋体"/>
          <w:bCs/>
          <w:sz w:val="24"/>
          <w:szCs w:val="24"/>
        </w:rPr>
      </w:pPr>
      <w:r>
        <w:rPr>
          <w:rFonts w:hint="eastAsia" w:ascii="宋体" w:hAnsi="宋体" w:eastAsia="宋体" w:cs="宋体"/>
          <w:bCs/>
          <w:sz w:val="24"/>
          <w:szCs w:val="24"/>
        </w:rPr>
        <w:t>账号：                       账号：</w:t>
      </w:r>
    </w:p>
    <w:p w14:paraId="006DBB6F">
      <w:pPr>
        <w:ind w:firstLine="480" w:firstLineChars="200"/>
      </w:pPr>
      <w:r>
        <w:rPr>
          <w:rFonts w:hint="eastAsia" w:ascii="宋体" w:hAnsi="宋体" w:eastAsia="宋体" w:cs="宋体"/>
          <w:bCs/>
          <w:sz w:val="24"/>
          <w:szCs w:val="24"/>
        </w:rPr>
        <w:t>日期：                       日期</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56F4B5E"/>
    <w:rsid w:val="20F44810"/>
    <w:rsid w:val="256F4B5E"/>
    <w:rsid w:val="3E22388F"/>
    <w:rsid w:val="4B8B15F1"/>
    <w:rsid w:val="69915FE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3111</Words>
  <Characters>3116</Characters>
  <Lines>0</Lines>
  <Paragraphs>0</Paragraphs>
  <TotalTime>0</TotalTime>
  <ScaleCrop>false</ScaleCrop>
  <LinksUpToDate>false</LinksUpToDate>
  <CharactersWithSpaces>3275</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2025-08-06T09:57:00Z</dcterms:created>
  <dc:creator>我曾站在离你最近的天涯1374317821</dc:creator>
  <cp:lastModifiedBy>我曾站在离你最近的天涯1374317821</cp:lastModifiedBy>
  <dcterms:modified xsi:type="dcterms:W3CDTF">2025-08-15T04:36:30Z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584F8CE177744233B52F1A731EBB13D5_11</vt:lpwstr>
  </property>
  <property fmtid="{D5CDD505-2E9C-101B-9397-08002B2CF9AE}" pid="4" name="KSOTemplateDocerSaveRecord">
    <vt:lpwstr>eyJoZGlkIjoiMTc2YzZiMzM5Y2EzOTMzOGM0OWQzMWVmMGU3ODI5YzgiLCJ1c2VySWQiOiIzNDcyNjc0In0=</vt:lpwstr>
  </property>
</Properties>
</file>