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版本号：SXLXFW-2025-03620250821001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常宁新区幸驾坡安置社区周边道路建设项目考古发掘劳务配合服务项目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SXLXFW-2025-036</w:t>
      </w:r>
      <w:r>
        <w:br/>
      </w:r>
      <w:r>
        <w:br/>
      </w:r>
      <w:r>
        <w:br/>
      </w:r>
    </w:p>
    <w:p>
      <w:pPr>
        <w:pStyle w:val="null3"/>
        <w:jc w:val="center"/>
        <w:outlineLvl w:val="2"/>
      </w:pPr>
      <w:r>
        <w:rPr>
          <w:rFonts w:ascii="仿宋_GB2312" w:hAnsi="仿宋_GB2312" w:cs="仿宋_GB2312" w:eastAsia="仿宋_GB2312"/>
          <w:sz w:val="28"/>
          <w:b/>
        </w:rPr>
        <w:t>西安市常宁新区开发建设管理委员会</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西安市常宁新区开发建设管理委员会</w:t>
      </w:r>
      <w:r>
        <w:rPr>
          <w:rFonts w:ascii="仿宋_GB2312" w:hAnsi="仿宋_GB2312" w:cs="仿宋_GB2312" w:eastAsia="仿宋_GB2312"/>
        </w:rPr>
        <w:t>委托，拟对</w:t>
      </w:r>
      <w:r>
        <w:rPr>
          <w:rFonts w:ascii="仿宋_GB2312" w:hAnsi="仿宋_GB2312" w:cs="仿宋_GB2312" w:eastAsia="仿宋_GB2312"/>
        </w:rPr>
        <w:t>常宁新区幸驾坡安置社区周边道路建设项目考古发掘劳务配合服务项目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SXLXFW-2025-036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常宁新区幸驾坡安置社区周边道路建设项目考古发掘劳务配合服务项目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常宁新区幸驾坡安置社区周边道路建设项目考古发掘土方劳务配合及安保支护加固服务，包含但不限于人工土方劳务配合（配合考古发掘技术单位）、安全保卫、支护加固等内容。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采购包1（常宁新区幸驾坡安置社区周边道路建设项目考古发掘劳务配合服务项目）：属于专门面向中小企业采购。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2、法定代表人授权书/法定代表人身份证明：法定代表人参加磋商的，须出具法定代表人身份证明书及身份证。法定代表人授权委托人参加磋商的，须出具法定代表人授权委托书及授权委托人身份证；</w:t>
      </w:r>
    </w:p>
    <w:p>
      <w:pPr>
        <w:pStyle w:val="null3"/>
      </w:pPr>
      <w:r>
        <w:rPr>
          <w:rFonts w:ascii="仿宋_GB2312" w:hAnsi="仿宋_GB2312" w:cs="仿宋_GB2312" w:eastAsia="仿宋_GB2312"/>
        </w:rPr>
        <w:t>3、财务状况报告：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p>
      <w:pPr>
        <w:pStyle w:val="null3"/>
      </w:pPr>
      <w:r>
        <w:rPr>
          <w:rFonts w:ascii="仿宋_GB2312" w:hAnsi="仿宋_GB2312" w:cs="仿宋_GB2312" w:eastAsia="仿宋_GB2312"/>
        </w:rPr>
        <w:t>4、税收缴纳证明：提供递交响应文件截止之日前一年内任意一个月的依法缴纳税收的相关凭据（时间以税款所属日期为准），依法免税或无须缴纳税收的供应商应提供相应证明文件；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5、社会保障资金缴纳证明：提供递交响应文件截止之日前一年内任意一个月的社会保障资金缴纳证明，依法不需要缴纳社会保障资金的供应商应提供相关文件证明；</w:t>
      </w:r>
    </w:p>
    <w:p>
      <w:pPr>
        <w:pStyle w:val="null3"/>
      </w:pPr>
      <w:r>
        <w:rPr>
          <w:rFonts w:ascii="仿宋_GB2312" w:hAnsi="仿宋_GB2312" w:cs="仿宋_GB2312" w:eastAsia="仿宋_GB2312"/>
        </w:rPr>
        <w:t>6、前三年无重大违法记录声明：参加政府采购活动前3年内在经营活动中没有重大违法记录的书面声明；</w:t>
      </w:r>
    </w:p>
    <w:p>
      <w:pPr>
        <w:pStyle w:val="null3"/>
      </w:pPr>
      <w:r>
        <w:rPr>
          <w:rFonts w:ascii="仿宋_GB2312" w:hAnsi="仿宋_GB2312" w:cs="仿宋_GB2312" w:eastAsia="仿宋_GB2312"/>
        </w:rPr>
        <w:t>7、履行合同所必需的设备和专业技术能力：具备履行合同所必需的设备和专业技术能力的证明材料；</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p>
      <w:pPr>
        <w:pStyle w:val="null3"/>
      </w:pPr>
      <w:r>
        <w:rPr>
          <w:rFonts w:ascii="仿宋_GB2312" w:hAnsi="仿宋_GB2312" w:cs="仿宋_GB2312" w:eastAsia="仿宋_GB2312"/>
        </w:rPr>
        <w:t>9、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西安市常宁新区开发建设管理委员会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西安市长安区城南大道中段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029-89057815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西安市雁塔区太白南路39号金石柏朗大厦12层1201室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孔祥妍、李娇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采购包1：748,618.01元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改委办公厅颁发的《关于招标代理服务收费有关问题的通知》（发改办价格〔2003〕857号）文件规定收取。不足捌仟元整（8000.00元）按捌仟元整（8000.00元）收取。 成交单位在领取成交通知书时向代理机构支付代理服务费。 缴纳账户如下： 户名：陕西立信工程项目管理有限公司 账号：129903881810301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西安市常宁新区开发建设管理委员会</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西安市常宁新区开发建设管理委员会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西安市常宁新区开发建设管理委员会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合格，符合现行国家验收规范合格标准。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联系人：李娇</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地址：西安市雁塔区太白南路39号金石柏朗大厦12层1201室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常宁新区幸驾坡安置社区周边道路建设项目考古发掘土方劳务配合及安保支护加固服务，包含但不限于人工土方劳务配合（配合考古发掘技术单位）、安全保卫、支护加固等内容。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748,618.01</w:t>
      </w:r>
    </w:p>
    <w:p>
      <w:pPr>
        <w:pStyle w:val="null3"/>
      </w:pPr>
      <w:r>
        <w:rPr>
          <w:rFonts w:ascii="仿宋_GB2312" w:hAnsi="仿宋_GB2312" w:cs="仿宋_GB2312" w:eastAsia="仿宋_GB2312"/>
        </w:rPr>
        <w:t>采购包最高限价（元）: 748,618.01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常宁新区幸驾坡安置社区周边道路建设项目考古发掘劳务配合服务项目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748,618.01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标的名称：常宁新区幸驾坡安置社区周边道路建设项目考古发掘劳务配合服务项目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B0F0"/>
              </w:rPr>
              <w:t>一、项目概况</w:t>
            </w:r>
          </w:p>
          <w:p>
            <w:pPr>
              <w:pStyle w:val="null3"/>
              <w:ind w:firstLine="420"/>
              <w:jc w:val="left"/>
            </w:pPr>
            <w:r>
              <w:rPr>
                <w:rFonts w:ascii="仿宋_GB2312" w:hAnsi="仿宋_GB2312" w:cs="仿宋_GB2312" w:eastAsia="仿宋_GB2312"/>
                <w:sz w:val="21"/>
                <w:color w:val="00B0F0"/>
              </w:rPr>
              <w:t>本</w:t>
            </w:r>
            <w:r>
              <w:rPr>
                <w:rFonts w:ascii="仿宋_GB2312" w:hAnsi="仿宋_GB2312" w:cs="仿宋_GB2312" w:eastAsia="仿宋_GB2312"/>
                <w:sz w:val="21"/>
                <w:color w:val="00B0F0"/>
              </w:rPr>
              <w:t>次采购内容主要为常宁新区</w:t>
            </w:r>
            <w:r>
              <w:rPr>
                <w:rFonts w:ascii="仿宋_GB2312" w:hAnsi="仿宋_GB2312" w:cs="仿宋_GB2312" w:eastAsia="仿宋_GB2312"/>
                <w:sz w:val="21"/>
                <w:color w:val="00B0F0"/>
              </w:rPr>
              <w:t>幸驾坡安置社区周边道路建设项目</w:t>
            </w:r>
            <w:r>
              <w:rPr>
                <w:rFonts w:ascii="仿宋_GB2312" w:hAnsi="仿宋_GB2312" w:cs="仿宋_GB2312" w:eastAsia="仿宋_GB2312"/>
                <w:sz w:val="21"/>
                <w:color w:val="00B0F0"/>
              </w:rPr>
              <w:t>考古发掘土方劳务配合及安保支护加固服务，包含但不限于人工土方劳务配合（配合考古发掘技术单位）、安全保卫、支护加固等内容</w:t>
            </w:r>
            <w:r>
              <w:rPr>
                <w:rFonts w:ascii="仿宋_GB2312" w:hAnsi="仿宋_GB2312" w:cs="仿宋_GB2312" w:eastAsia="仿宋_GB2312"/>
                <w:sz w:val="21"/>
                <w:color w:val="00B0F0"/>
              </w:rPr>
              <w:t>。</w:t>
            </w:r>
          </w:p>
          <w:p>
            <w:pPr>
              <w:pStyle w:val="null3"/>
              <w:ind w:firstLine="422"/>
              <w:jc w:val="left"/>
            </w:pPr>
            <w:r>
              <w:rPr>
                <w:rFonts w:ascii="仿宋_GB2312" w:hAnsi="仿宋_GB2312" w:cs="仿宋_GB2312" w:eastAsia="仿宋_GB2312"/>
                <w:sz w:val="21"/>
                <w:b/>
                <w:color w:val="00B0F0"/>
              </w:rPr>
              <w:t>二、主要功能或目标</w:t>
            </w:r>
          </w:p>
          <w:p>
            <w:pPr>
              <w:pStyle w:val="null3"/>
              <w:ind w:firstLine="420"/>
              <w:jc w:val="left"/>
            </w:pPr>
            <w:r>
              <w:rPr>
                <w:rFonts w:ascii="仿宋_GB2312" w:hAnsi="仿宋_GB2312" w:cs="仿宋_GB2312" w:eastAsia="仿宋_GB2312"/>
                <w:sz w:val="21"/>
                <w:color w:val="00B0F0"/>
              </w:rPr>
              <w:t>配合采购人委托的考古发掘技术单位对《幸驾坡安置社区周边道路建设项目考古勘探工作报告》发现的古墓8座，窑3座，灰坑1处，共12处古代文化遗存进行考古发掘并对出土文物现场进行保护等工作，协助考古发掘技术单位完成《幸驾坡安置社区周边道路建设项目考古发掘工作报告》编制工作。</w:t>
            </w:r>
          </w:p>
          <w:p>
            <w:pPr>
              <w:pStyle w:val="null3"/>
              <w:ind w:firstLine="422"/>
              <w:jc w:val="left"/>
            </w:pPr>
            <w:r>
              <w:rPr>
                <w:rFonts w:ascii="仿宋_GB2312" w:hAnsi="仿宋_GB2312" w:cs="仿宋_GB2312" w:eastAsia="仿宋_GB2312"/>
                <w:sz w:val="21"/>
                <w:b/>
                <w:color w:val="00B0F0"/>
              </w:rPr>
              <w:t>三、商务要求</w:t>
            </w:r>
          </w:p>
          <w:p>
            <w:pPr>
              <w:pStyle w:val="null3"/>
              <w:ind w:firstLine="422"/>
              <w:jc w:val="left"/>
            </w:pPr>
            <w:r>
              <w:rPr>
                <w:rFonts w:ascii="仿宋_GB2312" w:hAnsi="仿宋_GB2312" w:cs="仿宋_GB2312" w:eastAsia="仿宋_GB2312"/>
                <w:sz w:val="21"/>
                <w:color w:val="00B0F0"/>
              </w:rPr>
              <w:t>（1）服务期限：90个工作日。</w:t>
            </w:r>
          </w:p>
          <w:p>
            <w:pPr>
              <w:pStyle w:val="null3"/>
              <w:ind w:firstLine="422"/>
              <w:jc w:val="left"/>
            </w:pPr>
            <w:r>
              <w:rPr>
                <w:rFonts w:ascii="仿宋_GB2312" w:hAnsi="仿宋_GB2312" w:cs="仿宋_GB2312" w:eastAsia="仿宋_GB2312"/>
                <w:sz w:val="21"/>
                <w:color w:val="00B0F0"/>
              </w:rPr>
              <w:t>（2）需满足的需求：满足采购人工期要求及采购人委托的考古发掘技术单位的相关需求。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乙方进场服务后，服务总量完成60%后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待配合考古发掘工作全部完成，配合考古发掘技术单位出具有效的考古发掘报告，并经确认无误后，支付剩余费用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业绩.docx 服务内容及服务邀请应答表 人员配备.docx 中小企业声明函 商务应答表 报价表 供应商承诺书.docx 响应文件封面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供应商需在项目电子化交易系统中提供承诺并进行电子签章。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法定代表人参加磋商的，须出具法定代表人身份证明书及身份证。法定代表人授权委托人参加磋商的，须出具法定代表人授权委托书及授权委托人身份证；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提供递交响应文件截止之日前一年内任意一个月的社会保障资金缴纳证明，依法不需要缴纳社会保障资金的供应商应提供相关文件证明；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商务应答表 标的清单 报价表 响应函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服务内容及服务邀请应答表 人员配备.docx 中小企业声明函 商务应答表 报价表 供应商承诺书.docx 响应文件封面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符合“第三章 质量验收标准或规范”的要求</w:t>
            </w:r>
          </w:p>
        </w:tc>
        <w:tc>
          <w:tcPr>
            <w:tcW w:type="dxa" w:w="1661"/>
          </w:tcPr>
          <w:p>
            <w:pPr>
              <w:pStyle w:val="null3"/>
            </w:pPr>
            <w:r>
              <w:rPr>
                <w:rFonts w:ascii="仿宋_GB2312" w:hAnsi="仿宋_GB2312" w:cs="仿宋_GB2312" w:eastAsia="仿宋_GB2312"/>
              </w:rPr>
              <w:t>服务内容及服务邀请应答表 商务应答表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实质性条款、服务要求、合同条款响应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供应商应提交的相关资格证明材料.docx 服务内容及服务邀请应答表 中小企业声明函 商务应答表 标的清单 报价表 响应函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业绩.docx 服务内容及服务邀请应答表 人员配备.docx 中小企业声明函 商务应答表 报价表 供应商承诺书.docx 响应文件封面 供应商应提交的相关资格证明材料.docx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全面具体、内容完整、描述详尽，针对性强、可行性强、完全满足发掘劳务工作要求的得12分；服务方案全面具体、内容基本完整、描述简单，针对性一般、可行性一般，基本满足发掘劳务工作要求的得8分；服务方案粗略、内容不完整、描述简单，针对性较差、可行性较差、能满足发掘劳务工作要求的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确保发掘质量的技术组织措施</w:t>
            </w:r>
          </w:p>
        </w:tc>
        <w:tc>
          <w:tcPr>
            <w:tcW w:type="dxa" w:w="2492"/>
          </w:tcPr>
          <w:p>
            <w:pPr>
              <w:pStyle w:val="null3"/>
            </w:pPr>
            <w:r>
              <w:rPr>
                <w:rFonts w:ascii="仿宋_GB2312" w:hAnsi="仿宋_GB2312" w:cs="仿宋_GB2312" w:eastAsia="仿宋_GB2312"/>
              </w:rPr>
              <w:t>有明确确保发掘质量的技术组织措施，针对性强，可行性强、完全满足发掘劳务工作要求的得12分；对本项目针对性一般，可行性一般，基本满足发掘劳务工作要求的得8分；技术组织措施粗略，针对性较差、可行性较差、能满足发掘劳务工作要求的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针对本项目的人员配备</w:t>
            </w:r>
          </w:p>
        </w:tc>
        <w:tc>
          <w:tcPr>
            <w:tcW w:type="dxa" w:w="2492"/>
          </w:tcPr>
          <w:p>
            <w:pPr>
              <w:pStyle w:val="null3"/>
            </w:pPr>
            <w:r>
              <w:rPr>
                <w:rFonts w:ascii="仿宋_GB2312" w:hAnsi="仿宋_GB2312" w:cs="仿宋_GB2312" w:eastAsia="仿宋_GB2312"/>
              </w:rPr>
              <w:t>项目团队综合实力强，服务团队配备合理，人员经验丰富、专业性强，满足本项目需求得12分；项目团队综合实力较好，服务团队配备较为合理，人员经验较为丰富、专业性较好，基本满足本项目需求得8分；项目团队综合实力较差，服务团队配备合理性一般，人员相关经验较浅、专业性一般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确保安全作业及环境保护措施</w:t>
            </w:r>
          </w:p>
        </w:tc>
        <w:tc>
          <w:tcPr>
            <w:tcW w:type="dxa" w:w="2492"/>
          </w:tcPr>
          <w:p>
            <w:pPr>
              <w:pStyle w:val="null3"/>
            </w:pPr>
            <w:r>
              <w:rPr>
                <w:rFonts w:ascii="仿宋_GB2312" w:hAnsi="仿宋_GB2312" w:cs="仿宋_GB2312" w:eastAsia="仿宋_GB2312"/>
              </w:rPr>
              <w:t>内容完整，描述详尽，针对性、可行性强，完全满足项目要求的得12分；内容完整，描述简单，针对性、可行性一般，基本满足项目要求的得8分；内容粗略，描述简单，无针对性、可行性较差，能满足项目要求的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工具配备</w:t>
            </w:r>
          </w:p>
        </w:tc>
        <w:tc>
          <w:tcPr>
            <w:tcW w:type="dxa" w:w="2492"/>
          </w:tcPr>
          <w:p>
            <w:pPr>
              <w:pStyle w:val="null3"/>
            </w:pPr>
            <w:r>
              <w:rPr>
                <w:rFonts w:ascii="仿宋_GB2312" w:hAnsi="仿宋_GB2312" w:cs="仿宋_GB2312" w:eastAsia="仿宋_GB2312"/>
              </w:rPr>
              <w:t>项目实施所需工具，配备科学、充足，完全满足本项目需求的得9分；项目实施所需工具，配备合理、基本能满足本项目需求的得6分；项目实施所需工具，配备不合理、数量不足，能满足本项目需求的得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应急预案完备健全，科学性强、合理性强、可操作性强得12分；应急预案基本完备，科学性一般、合理性及可操作性一般得8分；应急预案完备程度较差，方案合理性及可操作性较差得4分；未提供得0分。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安保措施</w:t>
            </w:r>
          </w:p>
        </w:tc>
        <w:tc>
          <w:tcPr>
            <w:tcW w:type="dxa" w:w="2492"/>
          </w:tcPr>
          <w:p>
            <w:pPr>
              <w:pStyle w:val="null3"/>
            </w:pPr>
            <w:r>
              <w:rPr>
                <w:rFonts w:ascii="仿宋_GB2312" w:hAnsi="仿宋_GB2312" w:cs="仿宋_GB2312" w:eastAsia="仿宋_GB2312"/>
              </w:rPr>
              <w:t>安保措施完备健全，针对性强、可操作性强得7分；安保措施基本完备，针对性一般、可操作性一般得5分；安保措施完备程度较差，针对性及可操作性较差得3分；未提供得0分。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供应商提供近三年（2022年1月-至今）类似项目业绩，每提供一项得3分，最多得9分（以合同签订时间或中标通知书时间为准）。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周边区域历史、文物的了解程度以及供应商提供的服务质量、安全、文明工地、消防安全等各项服务承诺。服务措施及承诺完善、合理、切实可行、服务能满足采购人需求得5分；服务措施及承诺比较完善、合理、切实可行、服务能基本满足采购人需求得3分；服务措施及承诺比较完善、但不够合理、不具备一定的可行性、服务不能满足采购人需求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采用低价优先法计算，即满足磋商文件要求且最终报价最低的价格为磋商基准价，其价格分为满分。其他投标人的价格分统一按照下列公式计算： 磋商报价得分=（磋商基准价/最终磋商报价）×10超出预算的磋商报价在评审过程中按无效投标处理。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