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版本号：GXZB2025-068Z20250822001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翰林南路工业用地项目围墙圈建工程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GXZB2025-068Z</w:t>
      </w:r>
      <w:r>
        <w:br/>
      </w:r>
      <w:r>
        <w:br/>
      </w:r>
      <w:r>
        <w:br/>
      </w:r>
    </w:p>
    <w:p>
      <w:pPr>
        <w:pStyle w:val="null3"/>
        <w:jc w:val="center"/>
        <w:outlineLvl w:val="2"/>
      </w:pPr>
      <w:r>
        <w:rPr>
          <w:rFonts w:ascii="仿宋_GB2312" w:hAnsi="仿宋_GB2312" w:cs="仿宋_GB2312" w:eastAsia="仿宋_GB2312"/>
          <w:sz w:val="28"/>
          <w:b/>
        </w:rPr>
        <w:t>西安市长安区郭杜街道办事处</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西安市长安区郭杜街道办事处</w:t>
      </w:r>
      <w:r>
        <w:rPr>
          <w:rFonts w:ascii="仿宋_GB2312" w:hAnsi="仿宋_GB2312" w:cs="仿宋_GB2312" w:eastAsia="仿宋_GB2312"/>
        </w:rPr>
        <w:t>委托，拟对</w:t>
      </w:r>
      <w:r>
        <w:rPr>
          <w:rFonts w:ascii="仿宋_GB2312" w:hAnsi="仿宋_GB2312" w:cs="仿宋_GB2312" w:eastAsia="仿宋_GB2312"/>
        </w:rPr>
        <w:t>翰林南路工业用地项目围墙圈建工程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GXZB2025-068Z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翰林南路工业用地项目围墙圈建工程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该项目位于翰林南路以西，张康村以北，洋天科技产业园以南，总用地91.1亩，围墙长度约1000米。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采购包1（翰林南路工业用地项目围墙圈建工程）：属于专门面向中小企业采购。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6、项目经理资质：拟派项目经理具备建筑工程专业二级或以上注册建造师证书和安全生产考核合格证（B证），在本单位注册且无在建项目（提供承诺书）；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7、法定代表人身份证明或法定代表人授权委托书：法定代表人直接参加投标的，须提供法定代表人身份证明；法定代表人授权代表参加投标的，须提供法定代表人授权委托书；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9、信誉要求：供应商未列入“信用中国”网站（www.creditchina.gov.cn）“失信被执行人”、“重大税收违法失信主体名单”和中国政府采购网（www.ccgp.gov.cn）“政府采购严重违法失信行为记录名单”。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郭杜东街45号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029-82680887/16752770120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招标代理服务收费管理暂行办法》（计价格[2002]1980号）文件及国家发展改革委发布的发改价格[2011]534号文件收费标准的75%计取；若单项招标代理服务费不足伍仟元时按伍仟元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西安市长安区郭杜街道办事处</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按磋商文件、磋商响应文件及澄清函等技术指标进行验收。各项指标均应符合验收标准及要求。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联系人：陈琛</w:t>
      </w:r>
    </w:p>
    <w:p>
      <w:pPr>
        <w:pStyle w:val="null3"/>
      </w:pPr>
      <w:r>
        <w:rPr>
          <w:rFonts w:ascii="仿宋_GB2312" w:hAnsi="仿宋_GB2312" w:cs="仿宋_GB2312" w:eastAsia="仿宋_GB2312"/>
        </w:rPr>
        <w:t>联系电话：029-82680887/16752770120</w:t>
      </w:r>
    </w:p>
    <w:p>
      <w:pPr>
        <w:pStyle w:val="null3"/>
      </w:pPr>
      <w:r>
        <w:rPr>
          <w:rFonts w:ascii="仿宋_GB2312" w:hAnsi="仿宋_GB2312" w:cs="仿宋_GB2312" w:eastAsia="仿宋_GB2312"/>
        </w:rPr>
        <w:t>地址：陕西省西安市曲江新区旺座曲江B座3105室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翰林南路工业用地项目围墙圈建工程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标的名称：翰林南路工业用地项目围墙圈建工程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一、概况及实施范围</w:t>
            </w:r>
          </w:p>
          <w:p>
            <w:pPr>
              <w:pStyle w:val="null3"/>
              <w:spacing w:after="120"/>
              <w:jc w:val="both"/>
            </w:pPr>
            <w:r>
              <w:rPr>
                <w:rFonts w:ascii="仿宋_GB2312" w:hAnsi="仿宋_GB2312" w:cs="仿宋_GB2312" w:eastAsia="仿宋_GB2312"/>
              </w:rPr>
              <w:t>1</w:t>
            </w:r>
            <w:r>
              <w:rPr>
                <w:rFonts w:ascii="仿宋_GB2312" w:hAnsi="仿宋_GB2312" w:cs="仿宋_GB2312" w:eastAsia="仿宋_GB2312"/>
              </w:rPr>
              <w:t>、工程名称：</w:t>
            </w:r>
            <w:r>
              <w:rPr>
                <w:rFonts w:ascii="仿宋_GB2312" w:hAnsi="仿宋_GB2312" w:cs="仿宋_GB2312" w:eastAsia="仿宋_GB2312"/>
              </w:rPr>
              <w:t>翰林南路工业用地项目围墙圈建工程</w:t>
            </w:r>
            <w:r>
              <w:rPr>
                <w:rFonts w:ascii="仿宋_GB2312" w:hAnsi="仿宋_GB2312" w:cs="仿宋_GB2312" w:eastAsia="仿宋_GB2312"/>
              </w:rPr>
              <w:t>；</w:t>
            </w:r>
          </w:p>
          <w:p>
            <w:pPr>
              <w:pStyle w:val="null3"/>
              <w:spacing w:after="120"/>
              <w:jc w:val="both"/>
            </w:pPr>
            <w:r>
              <w:rPr>
                <w:rFonts w:ascii="仿宋_GB2312" w:hAnsi="仿宋_GB2312" w:cs="仿宋_GB2312" w:eastAsia="仿宋_GB2312"/>
              </w:rPr>
              <w:t>2</w:t>
            </w:r>
            <w:r>
              <w:rPr>
                <w:rFonts w:ascii="仿宋_GB2312" w:hAnsi="仿宋_GB2312" w:cs="仿宋_GB2312" w:eastAsia="仿宋_GB2312"/>
              </w:rPr>
              <w:t>、工程内容：</w:t>
            </w:r>
            <w:r>
              <w:rPr>
                <w:rFonts w:ascii="仿宋_GB2312" w:hAnsi="仿宋_GB2312" w:cs="仿宋_GB2312" w:eastAsia="仿宋_GB2312"/>
              </w:rPr>
              <w:t>翰林南路工业用地项目围墙圈建工程；该项目位于翰林南路以西，张康村以北，洋天科技产业园以南，总用地</w:t>
            </w:r>
            <w:r>
              <w:rPr>
                <w:rFonts w:ascii="仿宋_GB2312" w:hAnsi="仿宋_GB2312" w:cs="仿宋_GB2312" w:eastAsia="仿宋_GB2312"/>
              </w:rPr>
              <w:t>91.1亩，</w:t>
            </w:r>
            <w:r>
              <w:rPr>
                <w:rFonts w:ascii="仿宋_GB2312" w:hAnsi="仿宋_GB2312" w:cs="仿宋_GB2312" w:eastAsia="仿宋_GB2312"/>
              </w:rPr>
              <w:t>围墙长度约</w:t>
            </w:r>
            <w:r>
              <w:rPr>
                <w:rFonts w:ascii="仿宋_GB2312" w:hAnsi="仿宋_GB2312" w:cs="仿宋_GB2312" w:eastAsia="仿宋_GB2312"/>
              </w:rPr>
              <w:t>1000米；按《西安市建设工地围挡围墙整治标准图册》国有储备用地、出土(拆迁)、在建房屋建筑工地采用高2.5m的24砖墙围墙标准修建</w:t>
            </w:r>
            <w:r>
              <w:rPr>
                <w:rFonts w:ascii="仿宋_GB2312" w:hAnsi="仿宋_GB2312" w:cs="仿宋_GB2312" w:eastAsia="仿宋_GB2312"/>
              </w:rPr>
              <w:t>。</w:t>
            </w:r>
          </w:p>
          <w:p>
            <w:pPr>
              <w:pStyle w:val="null3"/>
              <w:spacing w:after="120"/>
              <w:jc w:val="both"/>
            </w:pPr>
            <w:r>
              <w:rPr>
                <w:rFonts w:ascii="仿宋_GB2312" w:hAnsi="仿宋_GB2312" w:cs="仿宋_GB2312" w:eastAsia="仿宋_GB2312"/>
              </w:rPr>
              <w:t>3.</w:t>
            </w:r>
            <w:r>
              <w:rPr>
                <w:rFonts w:ascii="仿宋_GB2312" w:hAnsi="仿宋_GB2312" w:cs="仿宋_GB2312" w:eastAsia="仿宋_GB2312"/>
              </w:rPr>
              <w:t>工期：</w:t>
            </w:r>
            <w:r>
              <w:rPr>
                <w:rFonts w:ascii="仿宋_GB2312" w:hAnsi="仿宋_GB2312" w:cs="仿宋_GB2312" w:eastAsia="仿宋_GB2312"/>
              </w:rPr>
              <w:t>自合同签订之日起</w:t>
            </w:r>
            <w:r>
              <w:rPr>
                <w:rFonts w:ascii="仿宋_GB2312" w:hAnsi="仿宋_GB2312" w:cs="仿宋_GB2312" w:eastAsia="仿宋_GB2312"/>
              </w:rPr>
              <w:t>30 个日历日。在双方商定的有效日历日内完成本</w:t>
            </w:r>
            <w:r>
              <w:rPr>
                <w:rFonts w:ascii="仿宋_GB2312" w:hAnsi="仿宋_GB2312" w:cs="仿宋_GB2312" w:eastAsia="仿宋_GB2312"/>
              </w:rPr>
              <w:t>项目，若遇不可抗拒因素，工期顺延</w:t>
            </w:r>
            <w:r>
              <w:rPr>
                <w:rFonts w:ascii="仿宋_GB2312" w:hAnsi="仿宋_GB2312" w:cs="仿宋_GB2312" w:eastAsia="仿宋_GB2312"/>
              </w:rPr>
              <w:t>。</w:t>
            </w:r>
          </w:p>
          <w:p>
            <w:pPr>
              <w:pStyle w:val="null3"/>
              <w:jc w:val="left"/>
            </w:pPr>
            <w:r>
              <w:rPr>
                <w:rFonts w:ascii="仿宋_GB2312" w:hAnsi="仿宋_GB2312" w:cs="仿宋_GB2312" w:eastAsia="仿宋_GB2312"/>
                <w:b/>
              </w:rPr>
              <w:t>二、执行的法律法规、技术规范</w:t>
            </w:r>
          </w:p>
          <w:p>
            <w:pPr>
              <w:pStyle w:val="null3"/>
              <w:jc w:val="both"/>
            </w:pPr>
            <w:r>
              <w:rPr>
                <w:rFonts w:ascii="仿宋_GB2312" w:hAnsi="仿宋_GB2312" w:cs="仿宋_GB2312" w:eastAsia="仿宋_GB2312"/>
              </w:rPr>
              <w:t>执行国家、省、市现行的相关规定及标准文件。具体技术要求包括但不限于以下规定、标准、规范：</w:t>
            </w:r>
          </w:p>
          <w:p>
            <w:pPr>
              <w:pStyle w:val="null3"/>
              <w:jc w:val="both"/>
            </w:pPr>
            <w:r>
              <w:rPr>
                <w:rFonts w:ascii="仿宋_GB2312" w:hAnsi="仿宋_GB2312" w:cs="仿宋_GB2312" w:eastAsia="仿宋_GB2312"/>
              </w:rPr>
              <w:t>《安全生产法》中华人民共和国主席令第八十八号；</w:t>
            </w:r>
          </w:p>
          <w:p>
            <w:pPr>
              <w:pStyle w:val="null3"/>
              <w:jc w:val="both"/>
            </w:pPr>
            <w:r>
              <w:rPr>
                <w:rFonts w:ascii="仿宋_GB2312" w:hAnsi="仿宋_GB2312" w:cs="仿宋_GB2312" w:eastAsia="仿宋_GB2312"/>
              </w:rPr>
              <w:t>《建设工程安全生产管理条例》中华人民共和国国务院令第</w:t>
            </w:r>
            <w:r>
              <w:rPr>
                <w:rFonts w:ascii="仿宋_GB2312" w:hAnsi="仿宋_GB2312" w:cs="仿宋_GB2312" w:eastAsia="仿宋_GB2312"/>
              </w:rPr>
              <w:t>393</w:t>
            </w:r>
            <w:r>
              <w:rPr>
                <w:rFonts w:ascii="仿宋_GB2312" w:hAnsi="仿宋_GB2312" w:cs="仿宋_GB2312" w:eastAsia="仿宋_GB2312"/>
              </w:rPr>
              <w:t>号；</w:t>
            </w:r>
          </w:p>
          <w:p>
            <w:pPr>
              <w:pStyle w:val="null3"/>
              <w:jc w:val="both"/>
            </w:pPr>
            <w:r>
              <w:rPr>
                <w:rFonts w:ascii="仿宋_GB2312" w:hAnsi="仿宋_GB2312" w:cs="仿宋_GB2312" w:eastAsia="仿宋_GB2312"/>
              </w:rPr>
              <w:t>《西安市扬尘污染防治条例》；</w:t>
            </w:r>
          </w:p>
          <w:p>
            <w:pPr>
              <w:pStyle w:val="null3"/>
              <w:jc w:val="both"/>
            </w:pPr>
            <w:r>
              <w:rPr>
                <w:rFonts w:ascii="仿宋_GB2312" w:hAnsi="仿宋_GB2312" w:cs="仿宋_GB2312" w:eastAsia="仿宋_GB2312"/>
              </w:rPr>
              <w:t>《西安高新区治污减霾网格化管理工作实施方案》；</w:t>
            </w:r>
          </w:p>
          <w:p>
            <w:pPr>
              <w:pStyle w:val="null3"/>
              <w:jc w:val="both"/>
            </w:pPr>
            <w:r>
              <w:rPr>
                <w:rFonts w:ascii="仿宋_GB2312" w:hAnsi="仿宋_GB2312" w:cs="仿宋_GB2312" w:eastAsia="仿宋_GB2312"/>
              </w:rPr>
              <w:t>《西安市建筑垃圾管理办法》；</w:t>
            </w:r>
          </w:p>
          <w:p>
            <w:pPr>
              <w:pStyle w:val="null3"/>
              <w:jc w:val="both"/>
            </w:pPr>
            <w:r>
              <w:rPr>
                <w:rFonts w:ascii="仿宋_GB2312" w:hAnsi="仿宋_GB2312" w:cs="仿宋_GB2312" w:eastAsia="仿宋_GB2312"/>
              </w:rPr>
              <w:t>如有最新的法律法规、技术规范发布，按最新的文件执行。</w:t>
            </w:r>
          </w:p>
          <w:p>
            <w:pPr>
              <w:pStyle w:val="null3"/>
              <w:jc w:val="both"/>
            </w:pPr>
            <w:r>
              <w:rPr>
                <w:rFonts w:ascii="仿宋_GB2312" w:hAnsi="仿宋_GB2312" w:cs="仿宋_GB2312" w:eastAsia="仿宋_GB2312"/>
                <w:b/>
              </w:rPr>
              <w:t>三、质量标准</w:t>
            </w:r>
          </w:p>
          <w:p>
            <w:pPr>
              <w:pStyle w:val="null3"/>
              <w:jc w:val="both"/>
            </w:pPr>
            <w:r>
              <w:rPr>
                <w:rFonts w:ascii="仿宋_GB2312" w:hAnsi="仿宋_GB2312" w:cs="仿宋_GB2312" w:eastAsia="仿宋_GB2312"/>
              </w:rPr>
              <w:t>1</w:t>
            </w:r>
            <w:r>
              <w:rPr>
                <w:rFonts w:ascii="仿宋_GB2312" w:hAnsi="仿宋_GB2312" w:cs="仿宋_GB2312" w:eastAsia="仿宋_GB2312"/>
              </w:rPr>
              <w:t>、项目范围内全部采用湿法作业、现场无扬尘。</w:t>
            </w:r>
          </w:p>
          <w:p>
            <w:pPr>
              <w:pStyle w:val="null3"/>
              <w:jc w:val="both"/>
            </w:pPr>
            <w:r>
              <w:rPr>
                <w:rFonts w:ascii="仿宋_GB2312" w:hAnsi="仿宋_GB2312" w:cs="仿宋_GB2312" w:eastAsia="仿宋_GB2312"/>
              </w:rPr>
              <w:t>2</w:t>
            </w:r>
            <w:r>
              <w:rPr>
                <w:rFonts w:ascii="仿宋_GB2312" w:hAnsi="仿宋_GB2312" w:cs="仿宋_GB2312" w:eastAsia="仿宋_GB2312"/>
              </w:rPr>
              <w:t>、按城市管理部门要求安装联网监控和空气检测装置等，确保设备正常使用。</w:t>
            </w:r>
          </w:p>
          <w:p>
            <w:pPr>
              <w:pStyle w:val="null3"/>
              <w:jc w:val="both"/>
            </w:pPr>
            <w:r>
              <w:rPr>
                <w:rFonts w:ascii="仿宋_GB2312" w:hAnsi="仿宋_GB2312" w:cs="仿宋_GB2312" w:eastAsia="仿宋_GB2312"/>
              </w:rPr>
              <w:t>3</w:t>
            </w:r>
            <w:r>
              <w:rPr>
                <w:rFonts w:ascii="仿宋_GB2312" w:hAnsi="仿宋_GB2312" w:cs="仿宋_GB2312" w:eastAsia="仿宋_GB2312"/>
              </w:rPr>
              <w:t>、施工单位负责协调村内及周边关系。</w:t>
            </w:r>
          </w:p>
          <w:p>
            <w:pPr>
              <w:pStyle w:val="null3"/>
              <w:jc w:val="left"/>
            </w:pPr>
            <w:r>
              <w:rPr>
                <w:rFonts w:ascii="仿宋_GB2312" w:hAnsi="仿宋_GB2312" w:cs="仿宋_GB2312" w:eastAsia="仿宋_GB2312"/>
                <w:b/>
              </w:rPr>
              <w:t>四、工程量清单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272"/>
              <w:gridCol w:w="589"/>
              <w:gridCol w:w="544"/>
              <w:gridCol w:w="1148"/>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清单项目</w:t>
                  </w:r>
                </w:p>
              </w:tc>
              <w:tc>
                <w:tcPr>
                  <w:tcW w:type="dxa" w:w="54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工程量</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最高含税完全综合单价限价</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围墙圈建</w:t>
                  </w:r>
                </w:p>
              </w:tc>
              <w:tc>
                <w:tcPr>
                  <w:tcW w:type="dxa" w:w="5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w:t>
                  </w:r>
                  <w:r>
                    <w:rPr>
                      <w:rFonts w:ascii="仿宋_GB2312" w:hAnsi="仿宋_GB2312" w:cs="仿宋_GB2312" w:eastAsia="仿宋_GB2312"/>
                      <w:sz w:val="19"/>
                    </w:rPr>
                    <w:t>m</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680</w:t>
                  </w:r>
                  <w:r>
                    <w:rPr>
                      <w:rFonts w:ascii="仿宋_GB2312" w:hAnsi="仿宋_GB2312" w:cs="仿宋_GB2312" w:eastAsia="仿宋_GB2312"/>
                      <w:sz w:val="19"/>
                    </w:rPr>
                    <w:t>元</w:t>
                  </w:r>
                  <w:r>
                    <w:rPr>
                      <w:rFonts w:ascii="仿宋_GB2312" w:hAnsi="仿宋_GB2312" w:cs="仿宋_GB2312" w:eastAsia="仿宋_GB2312"/>
                      <w:sz w:val="19"/>
                    </w:rPr>
                    <w:t>/m</w:t>
                  </w:r>
                </w:p>
              </w:tc>
            </w:tr>
          </w:tbl>
          <w:p>
            <w:pPr>
              <w:pStyle w:val="null3"/>
              <w:jc w:val="both"/>
            </w:pPr>
            <w:r>
              <w:rPr>
                <w:rFonts w:ascii="仿宋_GB2312" w:hAnsi="仿宋_GB2312" w:cs="仿宋_GB2312" w:eastAsia="仿宋_GB2312"/>
              </w:rPr>
              <w:t>注：</w:t>
            </w:r>
            <w:r>
              <w:rPr>
                <w:rFonts w:ascii="仿宋_GB2312" w:hAnsi="仿宋_GB2312" w:cs="仿宋_GB2312" w:eastAsia="仿宋_GB2312"/>
              </w:rPr>
              <w:t>1、本工程量为暂定工程量，最终以实际工程量为准结算；</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2、本项目结算金额的总计高于预算金额时以本项目预算金额作为结算金额。结算金额低于预算金额时据实结算。</w:t>
            </w:r>
          </w:p>
          <w:p>
            <w:pPr>
              <w:pStyle w:val="null3"/>
              <w:jc w:val="both"/>
            </w:pPr>
            <w:r>
              <w:rPr>
                <w:rFonts w:ascii="仿宋_GB2312" w:hAnsi="仿宋_GB2312" w:cs="仿宋_GB2312" w:eastAsia="仿宋_GB2312"/>
                <w:b/>
              </w:rPr>
              <w:t>五、其他</w:t>
            </w:r>
          </w:p>
          <w:p>
            <w:pPr>
              <w:pStyle w:val="null3"/>
              <w:jc w:val="both"/>
            </w:pPr>
            <w:r>
              <w:rPr>
                <w:rFonts w:ascii="仿宋_GB2312" w:hAnsi="仿宋_GB2312" w:cs="仿宋_GB2312" w:eastAsia="仿宋_GB2312"/>
              </w:rPr>
              <w:t>1</w:t>
            </w:r>
            <w:r>
              <w:rPr>
                <w:rFonts w:ascii="仿宋_GB2312" w:hAnsi="仿宋_GB2312" w:cs="仿宋_GB2312" w:eastAsia="仿宋_GB2312"/>
              </w:rPr>
              <w:t>、根据《西安市扬尘污染防治条例》本次工程应考虑治污减霾和降尘费用；</w:t>
            </w:r>
          </w:p>
          <w:p>
            <w:pPr>
              <w:pStyle w:val="null3"/>
              <w:jc w:val="both"/>
            </w:pPr>
            <w:r>
              <w:rPr>
                <w:rFonts w:ascii="仿宋_GB2312" w:hAnsi="仿宋_GB2312" w:cs="仿宋_GB2312" w:eastAsia="仿宋_GB2312"/>
              </w:rPr>
              <w:t>2</w:t>
            </w:r>
            <w:r>
              <w:rPr>
                <w:rFonts w:ascii="仿宋_GB2312" w:hAnsi="仿宋_GB2312" w:cs="仿宋_GB2312" w:eastAsia="仿宋_GB2312"/>
              </w:rPr>
              <w:t>、为保证施工现场的秩序及安全，降低施工影响，应新建临时围挡；</w:t>
            </w:r>
          </w:p>
          <w:p>
            <w:pPr>
              <w:pStyle w:val="null3"/>
              <w:jc w:val="both"/>
            </w:pPr>
            <w:r>
              <w:rPr>
                <w:rFonts w:ascii="仿宋_GB2312" w:hAnsi="仿宋_GB2312" w:cs="仿宋_GB2312" w:eastAsia="仿宋_GB2312"/>
              </w:rPr>
              <w:t>3</w:t>
            </w:r>
            <w:r>
              <w:rPr>
                <w:rFonts w:ascii="仿宋_GB2312" w:hAnsi="仿宋_GB2312" w:cs="仿宋_GB2312" w:eastAsia="仿宋_GB2312"/>
              </w:rPr>
              <w:t>、对可能发生的零星工程，应适当考虑相应机械台班；</w:t>
            </w:r>
          </w:p>
          <w:p>
            <w:pPr>
              <w:pStyle w:val="null3"/>
              <w:jc w:val="both"/>
            </w:pPr>
            <w:r>
              <w:rPr>
                <w:rFonts w:ascii="仿宋_GB2312" w:hAnsi="仿宋_GB2312" w:cs="仿宋_GB2312" w:eastAsia="仿宋_GB2312"/>
              </w:rPr>
              <w:t>4</w:t>
            </w:r>
            <w:r>
              <w:rPr>
                <w:rFonts w:ascii="仿宋_GB2312" w:hAnsi="仿宋_GB2312" w:cs="仿宋_GB2312" w:eastAsia="仿宋_GB2312"/>
              </w:rPr>
              <w:t>、因施工范围较大，为保证施工安全有序进行，应派驻专人看管现场。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、及时向采购人以书面形式汇报工程进度、工程量及安全情况。</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规定时限内完成项目任务，无任何遗留问题；按照工作相关规定如期完成新建围墙，全部达到项目交付要求；施工现场无建筑垃圾残留，并达到陕西省、西安市关于治污减霾的相关规定，完成垃圾清运工作，不发生安全 责任事故，没有上访、打架、闹事等不稳定事件发生。</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在施工期间，中标供应商必须注意施工区域人员安全，加强安全措施，并对施工人员进行安全教育。施工人员必须持证上岗。中标供应商在施工中做到封闭性施工。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中标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的经会计师事务所或审计机构审计的财务审计报告或在开标日期前六个月内其基本开户银行出具的资信证明或财政部门认可的政府采购专业担保机构出具的投标担保函。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供应商资格证明文件.docx 其它证明材料.docx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投标方案说明.docx 中小企业声明函 技术服务合同条款及其他商务要求应答表 其它证明材料.docx 供应商承诺书.docx 响应文件封面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项目管理机构组成表 投标方案说明.docx 技术服务合同条款及其他商务要求应答表 供应商类似项目业绩一览表 供应商资格证明文件.docx 其它证明材料.docx 主要人员简历表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总体流程安排合理，对项目关键技术、工艺的表述全面深入，对重点难点工程有先进、合理的建议，提出的解决方案完整、经济、安全、切实可行得7.0-10.0分。施工总体流程安排合理，对项目关键技术、工艺不够全面深入，对重点难点工程分析不全面彻底，提出的解决方案基本满足要求得4-6.9分。施工总体流程安排合理，对项目关键技术、工艺描述不足，缺乏对重点难点工程的分析，提出的解决方案不能充分满足工程需要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其它证明材料.docx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7.0-10.0分；内容较合理、方案可行性一般，基本符合要求得4.0-6.9分；内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7.0-10.0分；内容较合理、方案可行性一般，基本符合要求得4.0-6.9分；内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3.0-5.0分；内容较合理、方案可行性一般，基本符合要求得1.0-2.9分；内容不完备、方案可行性差、不能全面符合要求得0-0.9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4.0-6.0分；内容较合理、方案可行性一般，基本符合要求得2.0-3.9分；内容不完备、方案可行性差、不能全面符合要求得0-1.9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其它证明材料.docx</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投入材料环保性达到国际标准得6.0-9.0分；设备投入基本合理，材料环保性较好，得3.0-5.9分；设备和材料投入计划有欠缺，得0-2.9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组成人员配备合理、分工明确，有详细的安排计划得7.0-10.0分；组成人员配备较合理、分工较明确，安排计划较合理得4.0-6.9分；组成人员配备基本合理、分工基本明确，安排计划基本合理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针对本项目作出合理有效的工程施工承诺（包括但不限于不得拖欠施工人员工资、给施工人员缴纳保险、具体可行并符合国家相关保修规范的售后服务承诺等），按其响应程度计0-5分，未提供不得分。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供应商应提供2022年1月起至今承接过类似项目的业绩合同证明材料（以合同的签订日期为准，须提供合同复印件加盖公章）（每提供一个得1分，满分5分）。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其它证明材料.docx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详见附件：其它证明材料.docx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