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B0D01">
      <w:pPr>
        <w:pStyle w:val="4"/>
        <w:spacing w:line="299" w:lineRule="auto"/>
      </w:pPr>
    </w:p>
    <w:p w14:paraId="1F6F77D8">
      <w:pPr>
        <w:pStyle w:val="4"/>
        <w:spacing w:line="299" w:lineRule="auto"/>
      </w:pPr>
    </w:p>
    <w:p w14:paraId="244FE983">
      <w:pPr>
        <w:pStyle w:val="4"/>
        <w:spacing w:line="299" w:lineRule="auto"/>
      </w:pPr>
    </w:p>
    <w:p w14:paraId="2AA7CF09">
      <w:pPr>
        <w:pStyle w:val="4"/>
        <w:spacing w:line="299" w:lineRule="auto"/>
      </w:pPr>
    </w:p>
    <w:p w14:paraId="49687701">
      <w:pPr>
        <w:pStyle w:val="4"/>
        <w:spacing w:line="300" w:lineRule="auto"/>
      </w:pPr>
    </w:p>
    <w:p w14:paraId="6B5BF41A">
      <w:pPr>
        <w:pStyle w:val="4"/>
        <w:spacing w:line="300" w:lineRule="auto"/>
        <w:rPr>
          <w:rFonts w:hint="eastAsia" w:ascii="宋体" w:hAnsi="宋体" w:eastAsia="宋体" w:cs="宋体"/>
          <w:b/>
          <w:bCs/>
          <w:sz w:val="24"/>
          <w:szCs w:val="24"/>
        </w:rPr>
      </w:pPr>
    </w:p>
    <w:p w14:paraId="15A09B16">
      <w:pPr>
        <w:spacing w:before="101" w:line="225" w:lineRule="auto"/>
        <w:jc w:val="center"/>
        <w:rPr>
          <w:rFonts w:hint="eastAsia" w:ascii="宋体" w:hAnsi="宋体" w:eastAsia="宋体" w:cs="宋体"/>
          <w:b/>
          <w:bCs/>
          <w:sz w:val="60"/>
          <w:szCs w:val="60"/>
        </w:rPr>
      </w:pPr>
      <w:r>
        <w:rPr>
          <w:rFonts w:hint="eastAsia" w:ascii="宋体" w:hAnsi="宋体" w:eastAsia="宋体" w:cs="宋体"/>
          <w:b/>
          <w:bCs/>
          <w:spacing w:val="6"/>
          <w:sz w:val="96"/>
          <w:szCs w:val="96"/>
        </w:rPr>
        <w:t>合同格式</w:t>
      </w:r>
    </w:p>
    <w:p w14:paraId="1704581D">
      <w:pPr>
        <w:pStyle w:val="4"/>
        <w:spacing w:line="245" w:lineRule="auto"/>
        <w:rPr>
          <w:rFonts w:hint="eastAsia" w:ascii="宋体" w:hAnsi="宋体" w:eastAsia="宋体" w:cs="宋体"/>
          <w:b/>
          <w:bCs/>
        </w:rPr>
      </w:pPr>
    </w:p>
    <w:p w14:paraId="042EEC1D">
      <w:pPr>
        <w:pStyle w:val="4"/>
        <w:spacing w:line="245" w:lineRule="auto"/>
        <w:rPr>
          <w:rFonts w:hint="eastAsia" w:ascii="宋体" w:hAnsi="宋体" w:eastAsia="宋体" w:cs="宋体"/>
          <w:b/>
          <w:bCs/>
        </w:rPr>
      </w:pPr>
    </w:p>
    <w:p w14:paraId="71B0922B">
      <w:pPr>
        <w:pStyle w:val="4"/>
        <w:spacing w:line="245" w:lineRule="auto"/>
        <w:rPr>
          <w:rFonts w:hint="eastAsia" w:ascii="宋体" w:hAnsi="宋体" w:eastAsia="宋体" w:cs="宋体"/>
          <w:b/>
          <w:bCs/>
        </w:rPr>
      </w:pPr>
    </w:p>
    <w:p w14:paraId="1C41B707">
      <w:pPr>
        <w:pStyle w:val="4"/>
        <w:spacing w:line="245" w:lineRule="auto"/>
        <w:rPr>
          <w:rFonts w:hint="eastAsia" w:ascii="宋体" w:hAnsi="宋体" w:eastAsia="宋体" w:cs="宋体"/>
          <w:b/>
          <w:bCs/>
        </w:rPr>
      </w:pPr>
    </w:p>
    <w:p w14:paraId="3CF0ED5A">
      <w:pPr>
        <w:pStyle w:val="4"/>
        <w:spacing w:line="246" w:lineRule="auto"/>
        <w:rPr>
          <w:rFonts w:hint="eastAsia" w:ascii="宋体" w:hAnsi="宋体" w:eastAsia="宋体" w:cs="宋体"/>
          <w:b/>
          <w:bCs/>
        </w:rPr>
      </w:pPr>
    </w:p>
    <w:p w14:paraId="73BDD558">
      <w:pPr>
        <w:pStyle w:val="4"/>
        <w:spacing w:line="246" w:lineRule="auto"/>
        <w:rPr>
          <w:rFonts w:hint="eastAsia" w:ascii="宋体" w:hAnsi="宋体" w:eastAsia="宋体" w:cs="宋体"/>
          <w:b/>
          <w:bCs/>
        </w:rPr>
      </w:pPr>
    </w:p>
    <w:p w14:paraId="74A99FDE">
      <w:pPr>
        <w:spacing w:before="114" w:line="224" w:lineRule="auto"/>
        <w:ind w:left="2642"/>
        <w:rPr>
          <w:rFonts w:hint="eastAsia" w:ascii="宋体" w:hAnsi="宋体" w:eastAsia="宋体" w:cs="宋体"/>
          <w:b/>
          <w:bCs/>
          <w:sz w:val="35"/>
          <w:szCs w:val="35"/>
        </w:rPr>
      </w:pPr>
      <w:r>
        <w:rPr>
          <w:rFonts w:hint="eastAsia" w:ascii="宋体" w:hAnsi="宋体" w:eastAsia="宋体" w:cs="宋体"/>
          <w:b/>
          <w:bCs/>
          <w:spacing w:val="-3"/>
          <w:sz w:val="35"/>
          <w:szCs w:val="35"/>
        </w:rPr>
        <w:t>政</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府</w:t>
      </w:r>
      <w:r>
        <w:rPr>
          <w:rFonts w:hint="eastAsia" w:ascii="宋体" w:hAnsi="宋体" w:eastAsia="宋体" w:cs="宋体"/>
          <w:b/>
          <w:bCs/>
          <w:spacing w:val="20"/>
          <w:sz w:val="35"/>
          <w:szCs w:val="35"/>
        </w:rPr>
        <w:t xml:space="preserve"> </w:t>
      </w:r>
      <w:r>
        <w:rPr>
          <w:rFonts w:hint="eastAsia" w:ascii="宋体" w:hAnsi="宋体" w:eastAsia="宋体" w:cs="宋体"/>
          <w:b/>
          <w:bCs/>
          <w:spacing w:val="-3"/>
          <w:sz w:val="35"/>
          <w:szCs w:val="35"/>
        </w:rPr>
        <w:t>采 购</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合</w:t>
      </w:r>
      <w:r>
        <w:rPr>
          <w:rFonts w:hint="eastAsia" w:ascii="宋体" w:hAnsi="宋体" w:eastAsia="宋体" w:cs="宋体"/>
          <w:b/>
          <w:bCs/>
          <w:spacing w:val="57"/>
          <w:sz w:val="35"/>
          <w:szCs w:val="35"/>
        </w:rPr>
        <w:t xml:space="preserve"> </w:t>
      </w:r>
      <w:r>
        <w:rPr>
          <w:rFonts w:hint="eastAsia" w:ascii="宋体" w:hAnsi="宋体" w:eastAsia="宋体" w:cs="宋体"/>
          <w:b/>
          <w:bCs/>
          <w:spacing w:val="-3"/>
          <w:sz w:val="35"/>
          <w:szCs w:val="35"/>
        </w:rPr>
        <w:t>同</w:t>
      </w:r>
    </w:p>
    <w:p w14:paraId="129C84BB">
      <w:pPr>
        <w:spacing w:before="91" w:line="220" w:lineRule="auto"/>
        <w:rPr>
          <w:rFonts w:hint="eastAsia" w:ascii="宋体" w:hAnsi="宋体" w:eastAsia="宋体" w:cs="宋体"/>
          <w:b/>
          <w:bCs/>
          <w:spacing w:val="-5"/>
          <w:sz w:val="28"/>
          <w:szCs w:val="28"/>
        </w:rPr>
      </w:pPr>
    </w:p>
    <w:p w14:paraId="35E31D8B">
      <w:pPr>
        <w:spacing w:before="91" w:line="220" w:lineRule="auto"/>
        <w:ind w:firstLine="2711" w:firstLineChars="1000"/>
        <w:rPr>
          <w:rFonts w:hint="eastAsia" w:ascii="宋体" w:hAnsi="宋体" w:eastAsia="宋体" w:cs="宋体"/>
          <w:b/>
          <w:bCs/>
          <w:sz w:val="28"/>
          <w:szCs w:val="28"/>
        </w:rPr>
      </w:pPr>
      <w:r>
        <w:rPr>
          <w:rFonts w:hint="eastAsia" w:ascii="宋体" w:hAnsi="宋体" w:eastAsia="宋体" w:cs="宋体"/>
          <w:b/>
          <w:bCs/>
          <w:spacing w:val="-5"/>
          <w:sz w:val="28"/>
          <w:szCs w:val="28"/>
        </w:rPr>
        <w:t>合同编号：</w:t>
      </w:r>
    </w:p>
    <w:p w14:paraId="2E078E6E">
      <w:pPr>
        <w:pStyle w:val="4"/>
        <w:spacing w:line="252" w:lineRule="auto"/>
        <w:rPr>
          <w:rFonts w:hint="eastAsia" w:ascii="宋体" w:hAnsi="宋体" w:eastAsia="宋体" w:cs="宋体"/>
          <w:b/>
          <w:bCs/>
        </w:rPr>
      </w:pPr>
    </w:p>
    <w:p w14:paraId="7E5EDE41">
      <w:pPr>
        <w:pStyle w:val="4"/>
        <w:spacing w:line="252" w:lineRule="auto"/>
        <w:rPr>
          <w:rFonts w:hint="eastAsia" w:ascii="宋体" w:hAnsi="宋体" w:eastAsia="宋体" w:cs="宋体"/>
          <w:b/>
          <w:bCs/>
        </w:rPr>
      </w:pPr>
    </w:p>
    <w:p w14:paraId="301D5F55">
      <w:pPr>
        <w:pStyle w:val="4"/>
        <w:spacing w:line="252" w:lineRule="auto"/>
        <w:rPr>
          <w:rFonts w:hint="eastAsia" w:ascii="宋体" w:hAnsi="宋体" w:eastAsia="宋体" w:cs="宋体"/>
          <w:b/>
          <w:bCs/>
        </w:rPr>
      </w:pPr>
    </w:p>
    <w:p w14:paraId="6747B978">
      <w:pPr>
        <w:pStyle w:val="4"/>
        <w:spacing w:line="252" w:lineRule="auto"/>
        <w:rPr>
          <w:rFonts w:hint="eastAsia" w:ascii="宋体" w:hAnsi="宋体" w:eastAsia="宋体" w:cs="宋体"/>
          <w:b/>
          <w:bCs/>
        </w:rPr>
      </w:pPr>
    </w:p>
    <w:p w14:paraId="30A95FF6">
      <w:pPr>
        <w:pStyle w:val="4"/>
        <w:spacing w:line="252" w:lineRule="auto"/>
        <w:rPr>
          <w:rFonts w:hint="eastAsia" w:ascii="宋体" w:hAnsi="宋体" w:eastAsia="宋体" w:cs="宋体"/>
          <w:b/>
          <w:bCs/>
        </w:rPr>
      </w:pPr>
    </w:p>
    <w:p w14:paraId="4EF59E00">
      <w:pPr>
        <w:pStyle w:val="4"/>
        <w:spacing w:line="252" w:lineRule="auto"/>
        <w:rPr>
          <w:rFonts w:hint="eastAsia" w:ascii="宋体" w:hAnsi="宋体" w:eastAsia="宋体" w:cs="宋体"/>
          <w:b/>
          <w:bCs/>
        </w:rPr>
      </w:pPr>
    </w:p>
    <w:p w14:paraId="4379D867">
      <w:pPr>
        <w:pStyle w:val="4"/>
        <w:spacing w:line="252" w:lineRule="auto"/>
        <w:rPr>
          <w:rFonts w:hint="eastAsia" w:ascii="宋体" w:hAnsi="宋体" w:eastAsia="宋体" w:cs="宋体"/>
          <w:b/>
          <w:bCs/>
        </w:rPr>
      </w:pPr>
    </w:p>
    <w:p w14:paraId="2DF0A6B4">
      <w:pPr>
        <w:pStyle w:val="4"/>
        <w:spacing w:line="252" w:lineRule="auto"/>
        <w:rPr>
          <w:rFonts w:hint="eastAsia" w:ascii="宋体" w:hAnsi="宋体" w:eastAsia="宋体" w:cs="宋体"/>
          <w:b/>
          <w:bCs/>
        </w:rPr>
      </w:pPr>
    </w:p>
    <w:p w14:paraId="17B88E4A">
      <w:pPr>
        <w:pStyle w:val="4"/>
        <w:spacing w:line="252" w:lineRule="auto"/>
        <w:rPr>
          <w:rFonts w:hint="eastAsia" w:ascii="宋体" w:hAnsi="宋体" w:eastAsia="宋体" w:cs="宋体"/>
          <w:b/>
          <w:bCs/>
        </w:rPr>
      </w:pPr>
    </w:p>
    <w:p w14:paraId="0C890A70">
      <w:pPr>
        <w:pStyle w:val="4"/>
        <w:spacing w:line="252" w:lineRule="auto"/>
        <w:rPr>
          <w:rFonts w:hint="eastAsia" w:ascii="宋体" w:hAnsi="宋体" w:eastAsia="宋体" w:cs="宋体"/>
          <w:b/>
          <w:bCs/>
        </w:rPr>
      </w:pPr>
    </w:p>
    <w:p w14:paraId="435AD627">
      <w:pPr>
        <w:spacing w:before="40" w:line="426" w:lineRule="auto"/>
        <w:ind w:left="601" w:right="4998" w:firstLine="2"/>
        <w:rPr>
          <w:rFonts w:hint="eastAsia" w:ascii="宋体" w:hAnsi="宋体" w:eastAsia="宋体" w:cs="宋体"/>
          <w:b/>
          <w:bCs/>
          <w:spacing w:val="-4"/>
          <w:sz w:val="28"/>
          <w:szCs w:val="28"/>
        </w:rPr>
      </w:pPr>
    </w:p>
    <w:p w14:paraId="28EE280A">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采购项目名称：</w:t>
      </w:r>
    </w:p>
    <w:p w14:paraId="0FFFD237">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采购人（甲方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4"/>
          <w:sz w:val="28"/>
          <w:szCs w:val="28"/>
        </w:rPr>
        <w:t>：</w:t>
      </w:r>
    </w:p>
    <w:p w14:paraId="24264513">
      <w:pPr>
        <w:spacing w:before="40" w:line="426" w:lineRule="auto"/>
        <w:ind w:left="601" w:right="4998" w:firstLine="2"/>
        <w:rPr>
          <w:rFonts w:hint="eastAsia" w:ascii="宋体" w:hAnsi="宋体" w:eastAsia="宋体" w:cs="宋体"/>
          <w:b/>
          <w:bCs/>
          <w:spacing w:val="-34"/>
          <w:sz w:val="28"/>
          <w:szCs w:val="28"/>
          <w:lang w:eastAsia="zh-CN"/>
        </w:rPr>
      </w:pPr>
      <w:r>
        <w:rPr>
          <w:rFonts w:hint="eastAsia" w:ascii="宋体" w:hAnsi="宋体" w:eastAsia="宋体" w:cs="宋体"/>
          <w:b/>
          <w:bCs/>
          <w:spacing w:val="-4"/>
          <w:sz w:val="28"/>
          <w:szCs w:val="28"/>
        </w:rPr>
        <w:t>成交供应商（乙方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34"/>
          <w:sz w:val="28"/>
          <w:szCs w:val="28"/>
        </w:rPr>
        <w:t>：</w:t>
      </w:r>
    </w:p>
    <w:p w14:paraId="5430B91D">
      <w:pPr>
        <w:spacing w:before="40" w:line="426" w:lineRule="auto"/>
        <w:ind w:left="601" w:right="4998" w:firstLine="2"/>
        <w:rPr>
          <w:rFonts w:hint="eastAsia" w:ascii="宋体" w:hAnsi="宋体" w:eastAsia="宋体" w:cs="宋体"/>
          <w:b/>
          <w:bCs/>
          <w:sz w:val="28"/>
          <w:szCs w:val="28"/>
        </w:rPr>
      </w:pPr>
      <w:r>
        <w:rPr>
          <w:rFonts w:hint="eastAsia" w:ascii="宋体" w:hAnsi="宋体" w:eastAsia="宋体" w:cs="宋体"/>
          <w:b/>
          <w:bCs/>
          <w:spacing w:val="-4"/>
          <w:sz w:val="28"/>
          <w:szCs w:val="28"/>
        </w:rPr>
        <w:t>签署地点：</w:t>
      </w:r>
    </w:p>
    <w:p w14:paraId="68D1BD0A">
      <w:pPr>
        <w:spacing w:before="38" w:line="221" w:lineRule="auto"/>
        <w:ind w:left="601"/>
        <w:rPr>
          <w:rFonts w:hint="eastAsia" w:ascii="宋体" w:hAnsi="宋体" w:eastAsia="宋体" w:cs="宋体"/>
          <w:b/>
          <w:bCs/>
          <w:sz w:val="28"/>
          <w:szCs w:val="28"/>
        </w:rPr>
      </w:pPr>
      <w:r>
        <w:rPr>
          <w:rFonts w:hint="eastAsia" w:ascii="宋体" w:hAnsi="宋体" w:eastAsia="宋体" w:cs="宋体"/>
          <w:b/>
          <w:bCs/>
          <w:spacing w:val="-4"/>
          <w:sz w:val="28"/>
          <w:szCs w:val="28"/>
        </w:rPr>
        <w:t>签署日期：</w:t>
      </w:r>
    </w:p>
    <w:p w14:paraId="4BAF0213">
      <w:pPr>
        <w:spacing w:line="221" w:lineRule="auto"/>
        <w:rPr>
          <w:rFonts w:hint="eastAsia" w:ascii="宋体" w:hAnsi="宋体" w:eastAsia="宋体" w:cs="宋体"/>
          <w:sz w:val="28"/>
          <w:szCs w:val="28"/>
          <w:lang w:eastAsia="zh-CN"/>
        </w:rPr>
      </w:pPr>
    </w:p>
    <w:p w14:paraId="46FAA79E">
      <w:pPr>
        <w:spacing w:line="221" w:lineRule="auto"/>
        <w:rPr>
          <w:rFonts w:hint="eastAsia" w:ascii="宋体" w:hAnsi="宋体" w:eastAsia="宋体" w:cs="宋体"/>
          <w:sz w:val="28"/>
          <w:szCs w:val="28"/>
          <w:lang w:eastAsia="zh-CN"/>
        </w:rPr>
        <w:sectPr>
          <w:headerReference r:id="rId5" w:type="default"/>
          <w:footerReference r:id="rId6" w:type="default"/>
          <w:pgSz w:w="11906" w:h="16839"/>
          <w:pgMar w:top="1440" w:right="1757" w:bottom="1440" w:left="1757" w:header="0" w:footer="850" w:gutter="0"/>
          <w:cols w:space="720" w:num="1"/>
          <w:rtlGutter w:val="0"/>
        </w:sectPr>
      </w:pPr>
    </w:p>
    <w:p w14:paraId="5CDFD116">
      <w:pPr>
        <w:keepNext w:val="0"/>
        <w:keepLines w:val="0"/>
        <w:pageBreakBefore w:val="0"/>
        <w:widowControl/>
        <w:kinsoku w:val="0"/>
        <w:wordWrap/>
        <w:overflowPunct/>
        <w:topLinePunct w:val="0"/>
        <w:autoSpaceDE w:val="0"/>
        <w:autoSpaceDN w:val="0"/>
        <w:bidi w:val="0"/>
        <w:adjustRightInd w:val="0"/>
        <w:snapToGrid w:val="0"/>
        <w:spacing w:line="500" w:lineRule="exact"/>
        <w:ind w:right="0"/>
        <w:jc w:val="both"/>
        <w:textAlignment w:val="baseline"/>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rPr>
        <w:t>采购人（甲方）：</w:t>
      </w:r>
      <w:r>
        <w:rPr>
          <w:rFonts w:hint="eastAsia" w:ascii="宋体" w:hAnsi="宋体" w:eastAsia="宋体" w:cs="宋体"/>
          <w:b/>
          <w:bCs/>
          <w:spacing w:val="-4"/>
          <w:sz w:val="24"/>
          <w:szCs w:val="24"/>
          <w:u w:val="single"/>
          <w:lang w:eastAsia="zh-CN"/>
        </w:rPr>
        <w:t>西安市长安区鸣犊街道办事处</w:t>
      </w:r>
    </w:p>
    <w:p w14:paraId="63F774D2">
      <w:pPr>
        <w:keepNext w:val="0"/>
        <w:keepLines w:val="0"/>
        <w:pageBreakBefore w:val="0"/>
        <w:widowControl/>
        <w:kinsoku w:val="0"/>
        <w:wordWrap/>
        <w:overflowPunct/>
        <w:topLinePunct w:val="0"/>
        <w:autoSpaceDE w:val="0"/>
        <w:autoSpaceDN w:val="0"/>
        <w:bidi w:val="0"/>
        <w:adjustRightInd w:val="0"/>
        <w:snapToGrid w:val="0"/>
        <w:spacing w:line="500" w:lineRule="exact"/>
        <w:ind w:right="3772"/>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b/>
          <w:bCs/>
          <w:spacing w:val="-4"/>
          <w:sz w:val="24"/>
          <w:szCs w:val="24"/>
        </w:rPr>
        <w:t>成交供应商（乙方</w:t>
      </w:r>
      <w:r>
        <w:rPr>
          <w:rFonts w:hint="eastAsia" w:ascii="宋体" w:hAnsi="宋体" w:eastAsia="宋体" w:cs="宋体"/>
          <w:b/>
          <w:bCs/>
          <w:sz w:val="24"/>
          <w:szCs w:val="24"/>
        </w:rPr>
        <w:t>）：</w:t>
      </w:r>
    </w:p>
    <w:p w14:paraId="61E4D9AC">
      <w:pPr>
        <w:keepNext w:val="0"/>
        <w:keepLines w:val="0"/>
        <w:pageBreakBefore w:val="0"/>
        <w:widowControl/>
        <w:kinsoku w:val="0"/>
        <w:wordWrap/>
        <w:overflowPunct/>
        <w:topLinePunct w:val="0"/>
        <w:autoSpaceDE w:val="0"/>
        <w:autoSpaceDN w:val="0"/>
        <w:bidi w:val="0"/>
        <w:adjustRightInd w:val="0"/>
        <w:snapToGrid w:val="0"/>
        <w:spacing w:line="500" w:lineRule="exact"/>
        <w:ind w:firstLine="472" w:firstLineChars="200"/>
        <w:jc w:val="both"/>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rPr>
        <w:t>根据《中华人民共和国民法典》、《中华人民共和国政府采购法》、《中华人民共和国政府采购法实施条例》、等法律法规，甲方通过竞争性磋商，选定乙方为成交单位</w:t>
      </w:r>
      <w:r>
        <w:rPr>
          <w:rFonts w:hint="eastAsia" w:ascii="宋体" w:hAnsi="宋体" w:eastAsia="宋体" w:cs="宋体"/>
          <w:spacing w:val="1"/>
          <w:sz w:val="24"/>
          <w:szCs w:val="24"/>
        </w:rPr>
        <w:t>。甲、乙双方在平等基础上协商一致，达成如下合同条款</w:t>
      </w:r>
      <w:r>
        <w:rPr>
          <w:rFonts w:hint="eastAsia" w:ascii="宋体" w:hAnsi="宋体" w:eastAsia="宋体" w:cs="宋体"/>
          <w:spacing w:val="1"/>
          <w:sz w:val="24"/>
          <w:szCs w:val="24"/>
          <w:lang w:eastAsia="zh-CN"/>
        </w:rPr>
        <w:t>：</w:t>
      </w:r>
    </w:p>
    <w:p w14:paraId="76205829">
      <w:pPr>
        <w:keepNext w:val="0"/>
        <w:keepLines w:val="0"/>
        <w:pageBreakBefore w:val="0"/>
        <w:widowControl/>
        <w:kinsoku w:val="0"/>
        <w:wordWrap/>
        <w:overflowPunct/>
        <w:topLinePunct w:val="0"/>
        <w:autoSpaceDE w:val="0"/>
        <w:autoSpaceDN w:val="0"/>
        <w:bidi w:val="0"/>
        <w:adjustRightInd w:val="0"/>
        <w:snapToGrid w:val="0"/>
        <w:spacing w:line="500" w:lineRule="exact"/>
        <w:ind w:left="3" w:firstLine="479"/>
        <w:jc w:val="both"/>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一、服务内容及要求：</w:t>
      </w:r>
    </w:p>
    <w:p w14:paraId="0BAF309E">
      <w:pPr>
        <w:keepNext w:val="0"/>
        <w:keepLines w:val="0"/>
        <w:pageBreakBefore w:val="0"/>
        <w:widowControl/>
        <w:kinsoku w:val="0"/>
        <w:wordWrap/>
        <w:overflowPunct/>
        <w:topLinePunct w:val="0"/>
        <w:autoSpaceDE w:val="0"/>
        <w:autoSpaceDN w:val="0"/>
        <w:bidi w:val="0"/>
        <w:adjustRightInd w:val="0"/>
        <w:snapToGrid w:val="0"/>
        <w:spacing w:line="500" w:lineRule="exact"/>
        <w:ind w:left="3" w:firstLine="479"/>
        <w:jc w:val="both"/>
        <w:textAlignment w:val="baseline"/>
        <w:rPr>
          <w:rFonts w:hint="eastAsia" w:ascii="宋体" w:hAnsi="宋体" w:eastAsia="宋体" w:cs="宋体"/>
          <w:spacing w:val="-2"/>
          <w:sz w:val="24"/>
          <w:szCs w:val="24"/>
        </w:rPr>
      </w:pPr>
      <w:r>
        <w:rPr>
          <w:rFonts w:hint="eastAsia" w:ascii="宋体" w:hAnsi="宋体" w:eastAsia="宋体" w:cs="宋体"/>
          <w:b/>
          <w:bCs/>
          <w:spacing w:val="-2"/>
          <w:sz w:val="24"/>
          <w:szCs w:val="24"/>
        </w:rPr>
        <w:t>（一）服务内容：</w:t>
      </w:r>
      <w:r>
        <w:rPr>
          <w:rFonts w:hint="eastAsia" w:ascii="宋体" w:hAnsi="宋体" w:eastAsia="宋体" w:cs="宋体"/>
          <w:spacing w:val="-2"/>
          <w:sz w:val="24"/>
          <w:szCs w:val="24"/>
          <w:lang w:eastAsia="zh-CN"/>
        </w:rPr>
        <w:t>西安市未央区张家堡街道</w:t>
      </w:r>
      <w:r>
        <w:rPr>
          <w:rFonts w:hint="eastAsia" w:ascii="宋体" w:hAnsi="宋体" w:eastAsia="宋体" w:cs="宋体"/>
          <w:spacing w:val="-2"/>
          <w:sz w:val="24"/>
          <w:szCs w:val="24"/>
        </w:rPr>
        <w:t>食堂物资供应，需满足采购人一日三餐的食材要求，包括米、面、油、肉、蔬菜、水果、调料等物资的采购及配送。</w:t>
      </w:r>
    </w:p>
    <w:p w14:paraId="7571C987">
      <w:pPr>
        <w:keepNext w:val="0"/>
        <w:keepLines w:val="0"/>
        <w:pageBreakBefore w:val="0"/>
        <w:wordWrap/>
        <w:overflowPunct/>
        <w:topLinePunct w:val="0"/>
        <w:bidi w:val="0"/>
        <w:spacing w:line="500" w:lineRule="exact"/>
        <w:ind w:left="0" w:leftChars="0" w:firstLine="0" w:firstLineChars="0"/>
        <w:jc w:val="center"/>
        <w:rPr>
          <w:rFonts w:hint="eastAsia" w:ascii="宋体" w:hAnsi="宋体" w:eastAsia="宋体" w:cs="宋体"/>
          <w:sz w:val="24"/>
          <w:szCs w:val="24"/>
        </w:rPr>
      </w:pPr>
      <w:r>
        <w:rPr>
          <w:rFonts w:hint="eastAsia" w:ascii="宋体" w:hAnsi="宋体" w:eastAsia="宋体" w:cs="宋体"/>
          <w:b/>
          <w:bCs/>
          <w:spacing w:val="-6"/>
          <w:sz w:val="24"/>
          <w:szCs w:val="24"/>
        </w:rPr>
        <w:t>（采买清单）</w:t>
      </w:r>
    </w:p>
    <w:tbl>
      <w:tblPr>
        <w:tblStyle w:val="7"/>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07"/>
        <w:gridCol w:w="6098"/>
      </w:tblGrid>
      <w:tr w14:paraId="4C382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0" w:type="dxa"/>
            <w:noWrap w:val="0"/>
            <w:vAlign w:val="center"/>
          </w:tcPr>
          <w:p w14:paraId="7B846058">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序号</w:t>
            </w:r>
          </w:p>
        </w:tc>
        <w:tc>
          <w:tcPr>
            <w:tcW w:w="2007" w:type="dxa"/>
            <w:noWrap w:val="0"/>
            <w:vAlign w:val="center"/>
          </w:tcPr>
          <w:p w14:paraId="27C8EC39">
            <w:pPr>
              <w:keepNext w:val="0"/>
              <w:keepLines w:val="0"/>
              <w:pageBreakBefore w:val="0"/>
              <w:wordWrap/>
              <w:overflowPunct/>
              <w:topLinePunct w:val="0"/>
              <w:bidi w:val="0"/>
              <w:spacing w:line="500" w:lineRule="exact"/>
              <w:ind w:left="0" w:leftChars="0" w:firstLine="0" w:firstLineChars="0"/>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eastAsia="zh-CN"/>
              </w:rPr>
              <w:t>品名</w:t>
            </w:r>
          </w:p>
        </w:tc>
        <w:tc>
          <w:tcPr>
            <w:tcW w:w="6098" w:type="dxa"/>
            <w:noWrap w:val="0"/>
            <w:vAlign w:val="center"/>
          </w:tcPr>
          <w:p w14:paraId="35A27D6D">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vertAlign w:val="baseline"/>
                <w:lang w:eastAsia="zh-CN"/>
              </w:rPr>
              <w:t>食材要求</w:t>
            </w:r>
          </w:p>
        </w:tc>
      </w:tr>
      <w:tr w14:paraId="3FF6F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780" w:type="dxa"/>
            <w:noWrap w:val="0"/>
            <w:vAlign w:val="center"/>
          </w:tcPr>
          <w:p w14:paraId="797D48B3">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2007" w:type="dxa"/>
            <w:noWrap w:val="0"/>
            <w:vAlign w:val="center"/>
          </w:tcPr>
          <w:p w14:paraId="7E238652">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rPr>
              <w:t>大米</w:t>
            </w:r>
          </w:p>
        </w:tc>
        <w:tc>
          <w:tcPr>
            <w:tcW w:w="6098" w:type="dxa"/>
            <w:noWrap w:val="0"/>
            <w:vAlign w:val="center"/>
          </w:tcPr>
          <w:p w14:paraId="31C9118C">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kern w:val="2"/>
                <w:sz w:val="24"/>
                <w:szCs w:val="24"/>
                <w:highlight w:val="none"/>
                <w:lang w:val="en-US" w:eastAsia="zh-CN" w:bidi="ar-SA"/>
              </w:rPr>
              <w:t>必须符合GB1354标准，拥有食品生产许可证，水分含量在12°以下，无掺杂、无沙石，碎米少，无黄粒米</w:t>
            </w:r>
          </w:p>
        </w:tc>
      </w:tr>
      <w:tr w14:paraId="7A47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780" w:type="dxa"/>
            <w:noWrap w:val="0"/>
            <w:vAlign w:val="center"/>
          </w:tcPr>
          <w:p w14:paraId="69449467">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2007" w:type="dxa"/>
            <w:noWrap w:val="0"/>
            <w:vAlign w:val="center"/>
          </w:tcPr>
          <w:p w14:paraId="43019114">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rPr>
              <w:t>食用油</w:t>
            </w:r>
          </w:p>
        </w:tc>
        <w:tc>
          <w:tcPr>
            <w:tcW w:w="6098" w:type="dxa"/>
            <w:noWrap w:val="0"/>
            <w:vAlign w:val="center"/>
          </w:tcPr>
          <w:p w14:paraId="46D103ED">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必须符合GB1536标准，拥有食品生产许可证，质量等级一级；有合格检疫报告，外观的色泽、透明度、气味滋味等无异常；定型包装</w:t>
            </w:r>
          </w:p>
        </w:tc>
      </w:tr>
      <w:tr w14:paraId="23803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780" w:type="dxa"/>
            <w:noWrap w:val="0"/>
            <w:vAlign w:val="center"/>
          </w:tcPr>
          <w:p w14:paraId="2F061AE0">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2007" w:type="dxa"/>
            <w:noWrap w:val="0"/>
            <w:vAlign w:val="center"/>
          </w:tcPr>
          <w:p w14:paraId="45240E02">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rPr>
              <w:t>面粉</w:t>
            </w:r>
          </w:p>
        </w:tc>
        <w:tc>
          <w:tcPr>
            <w:tcW w:w="6098" w:type="dxa"/>
            <w:noWrap w:val="0"/>
            <w:vAlign w:val="center"/>
          </w:tcPr>
          <w:p w14:paraId="37ACDD48">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高筋面粉达GB8607国家标准，质量等级一级；低筋面粉达Q/JHMF01标准，质量等级一级；色泽正常，干爽无异味；包装袋上有注册商标及QS标注，有检验合格证、生产日期和保质期</w:t>
            </w:r>
          </w:p>
        </w:tc>
      </w:tr>
      <w:tr w14:paraId="55740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780" w:type="dxa"/>
            <w:noWrap w:val="0"/>
            <w:vAlign w:val="center"/>
          </w:tcPr>
          <w:p w14:paraId="6BE6EBA2">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4</w:t>
            </w:r>
          </w:p>
        </w:tc>
        <w:tc>
          <w:tcPr>
            <w:tcW w:w="2007" w:type="dxa"/>
            <w:noWrap w:val="0"/>
            <w:vAlign w:val="center"/>
          </w:tcPr>
          <w:p w14:paraId="6A7941AA">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rPr>
              <w:t>蔬菜</w:t>
            </w:r>
            <w:r>
              <w:rPr>
                <w:rFonts w:hint="eastAsia" w:ascii="宋体" w:hAnsi="宋体" w:eastAsia="宋体" w:cs="宋体"/>
                <w:color w:val="auto"/>
                <w:sz w:val="24"/>
                <w:szCs w:val="24"/>
                <w:highlight w:val="none"/>
                <w:lang w:eastAsia="zh-CN"/>
              </w:rPr>
              <w:t>类</w:t>
            </w:r>
          </w:p>
        </w:tc>
        <w:tc>
          <w:tcPr>
            <w:tcW w:w="6098" w:type="dxa"/>
            <w:noWrap w:val="0"/>
            <w:vAlign w:val="center"/>
          </w:tcPr>
          <w:p w14:paraId="659ED127">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必须符合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r>
      <w:tr w14:paraId="65A53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3" w:hRule="atLeast"/>
          <w:jc w:val="center"/>
        </w:trPr>
        <w:tc>
          <w:tcPr>
            <w:tcW w:w="780" w:type="dxa"/>
            <w:noWrap w:val="0"/>
            <w:vAlign w:val="center"/>
          </w:tcPr>
          <w:p w14:paraId="61CC8864">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5</w:t>
            </w:r>
          </w:p>
        </w:tc>
        <w:tc>
          <w:tcPr>
            <w:tcW w:w="2007" w:type="dxa"/>
            <w:noWrap w:val="0"/>
            <w:vAlign w:val="center"/>
          </w:tcPr>
          <w:p w14:paraId="67F291EB">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rPr>
              <w:t>肉类、冷冻产品</w:t>
            </w:r>
          </w:p>
        </w:tc>
        <w:tc>
          <w:tcPr>
            <w:tcW w:w="6098" w:type="dxa"/>
            <w:noWrap w:val="0"/>
            <w:vAlign w:val="center"/>
          </w:tcPr>
          <w:p w14:paraId="77C2DC1B">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vertAlign w:val="baseline"/>
              </w:rPr>
              <w:t>应具有相关动物检验检疫合格证明，供应商应设有固定的经营场所，并具有符合卫生防疫监督部门要求的肉类食材屠宰厂的经营授权书，含水（冰）率符合标准</w:t>
            </w:r>
            <w:r>
              <w:rPr>
                <w:rFonts w:hint="eastAsia" w:ascii="宋体" w:hAnsi="宋体" w:eastAsia="宋体" w:cs="宋体"/>
                <w:color w:val="auto"/>
                <w:sz w:val="24"/>
                <w:szCs w:val="24"/>
                <w:highlight w:val="none"/>
                <w:vertAlign w:val="baseline"/>
                <w:lang w:eastAsia="zh-CN"/>
              </w:rPr>
              <w:t>，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tc>
      </w:tr>
      <w:tr w14:paraId="29FEE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780" w:type="dxa"/>
            <w:noWrap w:val="0"/>
            <w:vAlign w:val="center"/>
          </w:tcPr>
          <w:p w14:paraId="750600B3">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6</w:t>
            </w:r>
          </w:p>
        </w:tc>
        <w:tc>
          <w:tcPr>
            <w:tcW w:w="2007" w:type="dxa"/>
            <w:noWrap w:val="0"/>
            <w:vAlign w:val="center"/>
          </w:tcPr>
          <w:p w14:paraId="56497506">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lang w:val="en-US" w:eastAsia="zh-CN"/>
              </w:rPr>
              <w:t>蛋类</w:t>
            </w:r>
          </w:p>
        </w:tc>
        <w:tc>
          <w:tcPr>
            <w:tcW w:w="6098" w:type="dxa"/>
            <w:noWrap w:val="0"/>
            <w:vAlign w:val="center"/>
          </w:tcPr>
          <w:p w14:paraId="581AAAC6">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vertAlign w:val="baseline"/>
                <w:lang w:eastAsia="zh-CN"/>
              </w:rPr>
              <w:t>鲜新、大小均匀、无破损、色泽光滑，须出具加盖地方政府监督所检疫章的动物</w:t>
            </w:r>
            <w:r>
              <w:rPr>
                <w:rFonts w:hint="eastAsia" w:ascii="宋体" w:hAnsi="宋体" w:eastAsia="宋体" w:cs="宋体"/>
                <w:color w:val="auto"/>
                <w:sz w:val="24"/>
                <w:szCs w:val="24"/>
                <w:highlight w:val="none"/>
                <w:vertAlign w:val="baseline"/>
                <w:lang w:val="en-US" w:eastAsia="zh-CN"/>
              </w:rPr>
              <w:t>防疫条件合格</w:t>
            </w:r>
            <w:r>
              <w:rPr>
                <w:rFonts w:hint="eastAsia" w:ascii="宋体" w:hAnsi="宋体" w:eastAsia="宋体" w:cs="宋体"/>
                <w:color w:val="auto"/>
                <w:sz w:val="24"/>
                <w:szCs w:val="24"/>
                <w:highlight w:val="none"/>
                <w:vertAlign w:val="baseline"/>
                <w:lang w:eastAsia="zh-CN"/>
              </w:rPr>
              <w:t>证明</w:t>
            </w:r>
          </w:p>
        </w:tc>
      </w:tr>
      <w:tr w14:paraId="0CBBA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780" w:type="dxa"/>
            <w:noWrap w:val="0"/>
            <w:vAlign w:val="center"/>
          </w:tcPr>
          <w:p w14:paraId="474A8D38">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7</w:t>
            </w:r>
          </w:p>
        </w:tc>
        <w:tc>
          <w:tcPr>
            <w:tcW w:w="2007" w:type="dxa"/>
            <w:noWrap w:val="0"/>
            <w:vAlign w:val="center"/>
          </w:tcPr>
          <w:p w14:paraId="4837DF04">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rPr>
              <w:t>豆制品、乳制品及其他半成品</w:t>
            </w:r>
          </w:p>
        </w:tc>
        <w:tc>
          <w:tcPr>
            <w:tcW w:w="6098" w:type="dxa"/>
            <w:noWrap w:val="0"/>
            <w:vAlign w:val="center"/>
          </w:tcPr>
          <w:p w14:paraId="476B9EF2">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vertAlign w:val="baseline"/>
                <w:lang w:eastAsia="zh-CN"/>
              </w:rPr>
              <w:t>豆制品须保证食材干净、不含非食品用化学物质、按统一标准加工、码放整齐、无须二次处理可以直接进行熟加工，送货当日时间不得超过保质期的1/3时长</w:t>
            </w:r>
          </w:p>
        </w:tc>
      </w:tr>
      <w:tr w14:paraId="6CCC5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780" w:type="dxa"/>
            <w:noWrap w:val="0"/>
            <w:vAlign w:val="center"/>
          </w:tcPr>
          <w:p w14:paraId="60A75329">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8</w:t>
            </w:r>
          </w:p>
        </w:tc>
        <w:tc>
          <w:tcPr>
            <w:tcW w:w="2007" w:type="dxa"/>
            <w:noWrap w:val="0"/>
            <w:vAlign w:val="center"/>
          </w:tcPr>
          <w:p w14:paraId="75208736">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水产品</w:t>
            </w:r>
          </w:p>
        </w:tc>
        <w:tc>
          <w:tcPr>
            <w:tcW w:w="6098" w:type="dxa"/>
            <w:noWrap w:val="0"/>
            <w:vAlign w:val="center"/>
          </w:tcPr>
          <w:p w14:paraId="234B97C9">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vertAlign w:val="baseline"/>
                <w:lang w:eastAsia="zh-CN"/>
              </w:rPr>
              <w:t>鱼类要求体表光滑无病灶，有鲜鱼鳞片完整，无鳞鱼无浑浊粘液，肉质干燥，紧密，呈白色或淡黄色眼球外突饱满透明，鳃丝清晰鲜红或暗红，保持活体状态固有本色，无异味，鱼类肌肉紧密有弹性，内脏清晰可辨无腐烂</w:t>
            </w:r>
          </w:p>
        </w:tc>
      </w:tr>
      <w:tr w14:paraId="346D5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780" w:type="dxa"/>
            <w:noWrap w:val="0"/>
            <w:vAlign w:val="center"/>
          </w:tcPr>
          <w:p w14:paraId="1FE62FE4">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2007" w:type="dxa"/>
            <w:noWrap w:val="0"/>
            <w:vAlign w:val="center"/>
          </w:tcPr>
          <w:p w14:paraId="14DC7AF7">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水果</w:t>
            </w:r>
          </w:p>
        </w:tc>
        <w:tc>
          <w:tcPr>
            <w:tcW w:w="6098" w:type="dxa"/>
            <w:noWrap w:val="0"/>
            <w:vAlign w:val="center"/>
          </w:tcPr>
          <w:p w14:paraId="0CF15E74">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vertAlign w:val="baseline"/>
                <w:lang w:eastAsia="zh-CN"/>
              </w:rPr>
              <w:t>时令各类水果，无虫、无杂质，须48小时内采摘供应，原水果须保证果面干净、无明显泥土、码放整齐、无破损、大小基本统一、不得过熟或欠熟</w:t>
            </w:r>
          </w:p>
        </w:tc>
      </w:tr>
      <w:tr w14:paraId="5D4FB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780" w:type="dxa"/>
            <w:noWrap w:val="0"/>
            <w:vAlign w:val="center"/>
          </w:tcPr>
          <w:p w14:paraId="21D9677E">
            <w:pPr>
              <w:keepNext w:val="0"/>
              <w:keepLines w:val="0"/>
              <w:pageBreakBefore w:val="0"/>
              <w:wordWrap/>
              <w:overflowPunct/>
              <w:topLinePunct w:val="0"/>
              <w:bidi w:val="0"/>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2007" w:type="dxa"/>
            <w:noWrap w:val="0"/>
            <w:vAlign w:val="center"/>
          </w:tcPr>
          <w:p w14:paraId="3C803EE8">
            <w:pPr>
              <w:keepNext w:val="0"/>
              <w:keepLines w:val="0"/>
              <w:pageBreakBefore w:val="0"/>
              <w:wordWrap/>
              <w:overflowPunct/>
              <w:topLinePunct w:val="0"/>
              <w:bidi w:val="0"/>
              <w:spacing w:line="500" w:lineRule="exact"/>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杂粮及调味品</w:t>
            </w:r>
          </w:p>
        </w:tc>
        <w:tc>
          <w:tcPr>
            <w:tcW w:w="6098" w:type="dxa"/>
            <w:noWrap w:val="0"/>
            <w:vAlign w:val="center"/>
          </w:tcPr>
          <w:p w14:paraId="5A7FB6CE">
            <w:pPr>
              <w:keepNext w:val="0"/>
              <w:keepLines w:val="0"/>
              <w:pageBreakBefore w:val="0"/>
              <w:wordWrap/>
              <w:overflowPunct/>
              <w:topLinePunct w:val="0"/>
              <w:bidi w:val="0"/>
              <w:spacing w:line="500" w:lineRule="exact"/>
              <w:jc w:val="left"/>
              <w:rPr>
                <w:rFonts w:hint="eastAsia" w:ascii="宋体" w:hAnsi="宋体" w:eastAsia="宋体" w:cs="宋体"/>
                <w:color w:val="auto"/>
                <w:sz w:val="24"/>
                <w:szCs w:val="24"/>
                <w:highlight w:val="none"/>
                <w:vertAlign w:val="baseline"/>
                <w:lang w:eastAsia="zh-CN"/>
              </w:rPr>
            </w:pPr>
            <w:r>
              <w:rPr>
                <w:rFonts w:hint="eastAsia" w:ascii="宋体" w:hAnsi="宋体" w:eastAsia="宋体" w:cs="宋体"/>
                <w:color w:val="auto"/>
                <w:sz w:val="24"/>
                <w:szCs w:val="24"/>
                <w:highlight w:val="none"/>
              </w:rPr>
              <w:t>品质好，无霉变、无杂质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定型包装调味品必须具有</w:t>
            </w:r>
            <w:bookmarkStart w:id="1" w:name="_GoBack"/>
            <w:bookmarkEnd w:id="1"/>
            <w:r>
              <w:rPr>
                <w:rFonts w:hint="eastAsia" w:ascii="宋体" w:hAnsi="宋体" w:eastAsia="宋体" w:cs="宋体"/>
                <w:color w:val="auto"/>
                <w:sz w:val="24"/>
                <w:szCs w:val="24"/>
                <w:highlight w:val="none"/>
              </w:rPr>
              <w:t>食品生产许可证</w:t>
            </w:r>
            <w:r>
              <w:rPr>
                <w:rFonts w:hint="eastAsia" w:ascii="宋体" w:hAnsi="宋体" w:eastAsia="宋体" w:cs="宋体"/>
                <w:color w:val="auto"/>
                <w:sz w:val="24"/>
                <w:szCs w:val="24"/>
                <w:highlight w:val="none"/>
                <w:lang w:eastAsia="zh-CN"/>
              </w:rPr>
              <w:t>，色泽正常，具有该品种固有的香味，滋味无异味，油酱均匀的酱体或无结块的粉状固体，封口平整，外包装无污物、无泄漏，无胀袋或胖听或鼓盖现象，无变质发霉现象。</w:t>
            </w:r>
          </w:p>
        </w:tc>
      </w:tr>
    </w:tbl>
    <w:p w14:paraId="76B204BC">
      <w:pPr>
        <w:pStyle w:val="11"/>
        <w:keepNext w:val="0"/>
        <w:keepLines w:val="0"/>
        <w:pageBreakBefore w:val="0"/>
        <w:numPr>
          <w:ilvl w:val="0"/>
          <w:numId w:val="0"/>
        </w:numPr>
        <w:kinsoku/>
        <w:wordWrap/>
        <w:overflowPunct/>
        <w:topLinePunct w:val="0"/>
        <w:autoSpaceDE/>
        <w:autoSpaceDN/>
        <w:bidi w:val="0"/>
        <w:adjustRightInd/>
        <w:snapToGrid/>
        <w:spacing w:before="0" w:beforeLines="0" w:after="0" w:afterLines="0" w:line="500" w:lineRule="exac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注：供应商应按照满足人体均衡营养摄入的食材配送标准来制定详细、具体、合理的食材配送计划。</w:t>
      </w:r>
    </w:p>
    <w:p w14:paraId="560E5612">
      <w:pPr>
        <w:keepNext w:val="0"/>
        <w:keepLines w:val="0"/>
        <w:pageBreakBefore w:val="0"/>
        <w:widowControl/>
        <w:kinsoku w:val="0"/>
        <w:wordWrap/>
        <w:overflowPunct/>
        <w:topLinePunct w:val="0"/>
        <w:autoSpaceDE w:val="0"/>
        <w:autoSpaceDN w:val="0"/>
        <w:bidi w:val="0"/>
        <w:adjustRightInd w:val="0"/>
        <w:snapToGrid w:val="0"/>
        <w:spacing w:line="500" w:lineRule="exact"/>
        <w:ind w:left="2" w:right="61" w:firstLine="431"/>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（二）服务要求</w:t>
      </w:r>
    </w:p>
    <w:p w14:paraId="7CA87F3A">
      <w:pPr>
        <w:keepNext w:val="0"/>
        <w:keepLines w:val="0"/>
        <w:pageBreakBefore w:val="0"/>
        <w:widowControl/>
        <w:kinsoku w:val="0"/>
        <w:wordWrap/>
        <w:overflowPunct/>
        <w:topLinePunct w:val="0"/>
        <w:autoSpaceDE w:val="0"/>
        <w:autoSpaceDN w:val="0"/>
        <w:bidi w:val="0"/>
        <w:adjustRightInd w:val="0"/>
        <w:snapToGrid w:val="0"/>
        <w:spacing w:line="500" w:lineRule="exact"/>
        <w:ind w:left="439"/>
        <w:textAlignment w:val="baseline"/>
        <w:rPr>
          <w:rFonts w:hint="eastAsia" w:ascii="宋体" w:hAnsi="宋体" w:eastAsia="宋体" w:cs="宋体"/>
          <w:sz w:val="24"/>
          <w:szCs w:val="24"/>
        </w:rPr>
      </w:pPr>
      <w:r>
        <w:rPr>
          <w:rFonts w:hint="eastAsia" w:ascii="宋体" w:hAnsi="宋体" w:eastAsia="宋体" w:cs="宋体"/>
          <w:spacing w:val="-4"/>
          <w:sz w:val="24"/>
          <w:szCs w:val="24"/>
        </w:rPr>
        <w:t>1、配送要求：</w:t>
      </w:r>
    </w:p>
    <w:p w14:paraId="2AC039C4">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（1）供应商须根据食堂要求提供的所有食材的具体品类、规格来供应产品，保质保量，准时准点满足食堂需求；</w:t>
      </w:r>
    </w:p>
    <w:p w14:paraId="5904EAA0">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（2）供应商自备送货车（冷藏或恒温），安排专人及时供货，装卸费、送货费用及运输安全由供应商承担； </w:t>
      </w:r>
    </w:p>
    <w:p w14:paraId="5F65E536">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（3）米、面、油主食类、调味品、杂粮等食材根据食堂需求用量及库存条件，原则上每周送货1次或2次；</w:t>
      </w:r>
    </w:p>
    <w:p w14:paraId="7FF4D5B5">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（4）特殊情况下，食堂需要的小批量的急用物资，供应商应予以满足解决；</w:t>
      </w:r>
    </w:p>
    <w:p w14:paraId="345F9220">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（5）所有食材供应商必须按照采购人要求的种类、规格进行供货，满足采购人使用需求。所有食材配送服务均以采购人通知为准，采购人有权根据实际需求量随时调整采购计划及供货时间段。</w:t>
      </w:r>
    </w:p>
    <w:p w14:paraId="37F95A7F">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4" w:firstLineChars="200"/>
        <w:textAlignment w:val="baseline"/>
        <w:rPr>
          <w:rFonts w:hint="eastAsia" w:ascii="宋体" w:hAnsi="宋体" w:eastAsia="宋体" w:cs="宋体"/>
          <w:spacing w:val="-4"/>
          <w:sz w:val="24"/>
          <w:szCs w:val="24"/>
        </w:rPr>
      </w:pPr>
      <w:r>
        <w:rPr>
          <w:rFonts w:hint="eastAsia" w:ascii="宋体" w:hAnsi="宋体" w:eastAsia="宋体" w:cs="宋体"/>
          <w:spacing w:val="-4"/>
          <w:sz w:val="24"/>
          <w:szCs w:val="24"/>
        </w:rPr>
        <w:t>2、验收标准：</w:t>
      </w:r>
    </w:p>
    <w:p w14:paraId="2024E48E">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保管员、采购员负责入库食品检验，当班厨师长配合质量验收，验收标准如下：</w:t>
      </w:r>
    </w:p>
    <w:p w14:paraId="47850CB7">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定型包装食品，应检验包装标识或者产品说明书是否标出品名、产地、厂名、生产日期、批号或者代号、规格、配方或者主要成份、保质期限、食用或者使用方法等，防止购进假冒伪劣产品，禁止“三无”产品进入食堂；</w:t>
      </w:r>
    </w:p>
    <w:p w14:paraId="12722B37">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（2）主要食材中的定型包装食品，如米面油类应提供批次产品卫生主管部门的检验报告；</w:t>
      </w:r>
    </w:p>
    <w:p w14:paraId="3FF11EC9">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（3）包装污秽不洁、严重破损、运输工具不洁等造成污染的产品不得验收入库；</w:t>
      </w:r>
    </w:p>
    <w:p w14:paraId="070F3D42">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124B0520">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（5）食堂采购员、库管员和当班厨师共同对所购食品原辅料的质量、数量进行核对验收，验收合格的及时入库，不合格产品应及时退回供应商，同时做好验收记录。食堂管理员不定时抽查；</w:t>
      </w:r>
    </w:p>
    <w:p w14:paraId="7F69EA18">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（6）食材购回后，保管员和厨师共同验收，并在《原料购进验收单》上签字确认；</w:t>
      </w:r>
    </w:p>
    <w:p w14:paraId="255EC078">
      <w:pPr>
        <w:keepNext w:val="0"/>
        <w:keepLines w:val="0"/>
        <w:pageBreakBefore w:val="0"/>
        <w:widowControl w:val="0"/>
        <w:shd w:val="clear" w:color="auto" w:fill="auto"/>
        <w:kinsoku/>
        <w:wordWrap/>
        <w:overflowPunct/>
        <w:topLinePunct w:val="0"/>
        <w:bidi w:val="0"/>
        <w:snapToGrid/>
        <w:spacing w:line="50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（7）入库时，保管员要清点入库物品的数量、规格，做到数量、规格、品种准确无误，入库时按不同的材质、规格、功能和要求，分类、分别储存，做到账物相符。</w:t>
      </w:r>
    </w:p>
    <w:p w14:paraId="298791C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6" w:firstLineChars="200"/>
        <w:textAlignment w:val="baseline"/>
        <w:rPr>
          <w:rFonts w:hint="eastAsia" w:ascii="宋体" w:hAnsi="宋体" w:eastAsia="宋体" w:cs="宋体"/>
          <w:spacing w:val="-12"/>
          <w:sz w:val="24"/>
          <w:szCs w:val="24"/>
        </w:rPr>
      </w:pPr>
      <w:r>
        <w:rPr>
          <w:rFonts w:hint="eastAsia" w:ascii="宋体" w:hAnsi="宋体" w:eastAsia="宋体" w:cs="宋体"/>
          <w:b/>
          <w:bCs/>
          <w:spacing w:val="-4"/>
          <w:sz w:val="24"/>
          <w:szCs w:val="24"/>
        </w:rPr>
        <w:t>（三）服务期</w:t>
      </w:r>
      <w:r>
        <w:rPr>
          <w:rFonts w:hint="eastAsia" w:ascii="宋体" w:hAnsi="宋体" w:eastAsia="宋体" w:cs="宋体"/>
          <w:b/>
          <w:bCs/>
          <w:spacing w:val="-4"/>
          <w:sz w:val="24"/>
          <w:szCs w:val="24"/>
          <w:lang w:eastAsia="zh-CN"/>
        </w:rPr>
        <w:t>：</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日至</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1E5A847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二、合同价格</w:t>
      </w:r>
    </w:p>
    <w:p w14:paraId="3739FC1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8" w:firstLineChars="200"/>
        <w:textAlignment w:val="baseline"/>
        <w:rPr>
          <w:rFonts w:hint="default" w:ascii="宋体" w:hAnsi="宋体" w:eastAsia="宋体" w:cs="宋体"/>
          <w:b/>
          <w:bCs/>
          <w:snapToGrid w:val="0"/>
          <w:color w:val="000000"/>
          <w:spacing w:val="-3"/>
          <w:kern w:val="0"/>
          <w:sz w:val="24"/>
          <w:szCs w:val="24"/>
          <w:u w:val="single"/>
          <w:lang w:val="en-US" w:eastAsia="zh-CN" w:bidi="ar-SA"/>
        </w:rPr>
      </w:pPr>
      <w:r>
        <w:rPr>
          <w:rFonts w:hint="eastAsia" w:ascii="宋体" w:hAnsi="宋体" w:eastAsia="宋体" w:cs="宋体"/>
          <w:spacing w:val="-3"/>
          <w:sz w:val="24"/>
          <w:szCs w:val="24"/>
        </w:rPr>
        <w:t>合同总价：人民币大写：</w:t>
      </w:r>
      <w:r>
        <w:rPr>
          <w:rFonts w:hint="eastAsia" w:ascii="宋体" w:hAnsi="宋体" w:eastAsia="宋体" w:cs="宋体"/>
          <w:spacing w:val="-3"/>
          <w:sz w:val="24"/>
          <w:szCs w:val="24"/>
          <w:u w:val="single" w:color="auto"/>
        </w:rPr>
        <w:t xml:space="preserve">         </w:t>
      </w:r>
      <w:r>
        <w:rPr>
          <w:rFonts w:hint="eastAsia" w:ascii="宋体" w:hAnsi="宋体" w:eastAsia="宋体" w:cs="宋体"/>
          <w:b w:val="0"/>
          <w:bCs w:val="0"/>
          <w:spacing w:val="-3"/>
          <w:sz w:val="24"/>
          <w:szCs w:val="24"/>
          <w:u w:val="single" w:color="auto"/>
        </w:rPr>
        <w:t xml:space="preserve"> </w:t>
      </w:r>
      <w:r>
        <w:rPr>
          <w:rFonts w:hint="eastAsia" w:ascii="宋体" w:hAnsi="宋体" w:eastAsia="宋体" w:cs="宋体"/>
          <w:b w:val="0"/>
          <w:bCs w:val="0"/>
          <w:spacing w:val="-3"/>
          <w:sz w:val="24"/>
          <w:szCs w:val="24"/>
        </w:rPr>
        <w:t>元整；</w:t>
      </w:r>
      <w:r>
        <w:rPr>
          <w:rFonts w:hint="eastAsia" w:ascii="宋体" w:hAnsi="宋体" w:eastAsia="宋体" w:cs="宋体"/>
          <w:spacing w:val="-3"/>
          <w:sz w:val="24"/>
          <w:szCs w:val="24"/>
        </w:rPr>
        <w:t>￥</w:t>
      </w:r>
      <w:r>
        <w:rPr>
          <w:rFonts w:hint="eastAsia" w:ascii="宋体" w:hAnsi="宋体" w:eastAsia="宋体" w:cs="宋体"/>
          <w:spacing w:val="-95"/>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元。</w:t>
      </w:r>
      <w:r>
        <w:rPr>
          <w:rFonts w:hint="eastAsia" w:ascii="宋体" w:hAnsi="宋体" w:eastAsia="宋体" w:cs="宋体"/>
          <w:spacing w:val="-3"/>
          <w:sz w:val="24"/>
          <w:szCs w:val="24"/>
          <w:lang w:val="en-US" w:eastAsia="zh-CN"/>
        </w:rPr>
        <w:t>费率</w:t>
      </w:r>
      <w:r>
        <w:rPr>
          <w:rFonts w:hint="eastAsia" w:ascii="宋体" w:hAnsi="宋体" w:eastAsia="宋体" w:cs="宋体"/>
          <w:spacing w:val="-3"/>
          <w:sz w:val="24"/>
          <w:szCs w:val="24"/>
          <w:u w:val="single"/>
          <w:lang w:val="en-US" w:eastAsia="zh-CN"/>
        </w:rPr>
        <w:t xml:space="preserve">      %</w:t>
      </w:r>
    </w:p>
    <w:p w14:paraId="4589D7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left="0" w:right="0" w:rightChars="0"/>
        <w:jc w:val="both"/>
        <w:textAlignment w:val="baseline"/>
        <w:rPr>
          <w:rFonts w:hint="eastAsia" w:ascii="宋体" w:hAnsi="宋体" w:eastAsia="宋体" w:cs="宋体"/>
          <w:b/>
          <w:bCs/>
          <w:spacing w:val="-3"/>
          <w:sz w:val="24"/>
          <w:szCs w:val="24"/>
          <w:lang w:eastAsia="zh-CN"/>
        </w:rPr>
      </w:pPr>
      <w:r>
        <w:rPr>
          <w:rFonts w:hint="eastAsia" w:ascii="宋体" w:hAnsi="宋体" w:eastAsia="宋体" w:cs="宋体"/>
          <w:b/>
          <w:bCs/>
          <w:snapToGrid w:val="0"/>
          <w:color w:val="000000"/>
          <w:spacing w:val="-3"/>
          <w:kern w:val="0"/>
          <w:sz w:val="24"/>
          <w:szCs w:val="24"/>
          <w:lang w:val="en-US" w:eastAsia="en-US" w:bidi="ar-SA"/>
        </w:rPr>
        <w:t>三、</w:t>
      </w:r>
      <w:r>
        <w:rPr>
          <w:rFonts w:hint="eastAsia" w:ascii="宋体" w:hAnsi="宋体" w:eastAsia="宋体" w:cs="宋体"/>
          <w:b/>
          <w:bCs/>
          <w:spacing w:val="-3"/>
          <w:sz w:val="24"/>
          <w:szCs w:val="24"/>
        </w:rPr>
        <w:t>付款方式</w:t>
      </w:r>
      <w:r>
        <w:rPr>
          <w:rFonts w:hint="eastAsia" w:ascii="宋体" w:hAnsi="宋体" w:eastAsia="宋体" w:cs="宋体"/>
          <w:b/>
          <w:bCs/>
          <w:spacing w:val="-3"/>
          <w:sz w:val="24"/>
          <w:szCs w:val="24"/>
          <w:lang w:eastAsia="zh-CN"/>
        </w:rPr>
        <w:t>：</w:t>
      </w:r>
    </w:p>
    <w:p w14:paraId="301CEAEA">
      <w:pPr>
        <w:pStyle w:val="12"/>
        <w:keepNext w:val="0"/>
        <w:keepLines w:val="0"/>
        <w:pageBreakBefore w:val="0"/>
        <w:kinsoku/>
        <w:wordWrap/>
        <w:overflowPunct/>
        <w:topLinePunct w:val="0"/>
        <w:autoSpaceDE/>
        <w:autoSpaceDN/>
        <w:bidi w:val="0"/>
        <w:adjustRightInd/>
        <w:snapToGrid/>
        <w:spacing w:line="360" w:lineRule="auto"/>
        <w:ind w:firstLine="420"/>
        <w:jc w:val="both"/>
        <w:textAlignment w:val="auto"/>
        <w:rPr>
          <w:rFonts w:hint="eastAsia" w:ascii="宋体" w:hAnsi="宋体" w:eastAsia="宋体" w:cs="宋体"/>
          <w:sz w:val="24"/>
          <w:szCs w:val="24"/>
        </w:rPr>
      </w:pPr>
      <w:r>
        <w:rPr>
          <w:rFonts w:hint="eastAsia" w:ascii="宋体" w:hAnsi="宋体" w:eastAsia="宋体" w:cs="宋体"/>
          <w:sz w:val="24"/>
          <w:szCs w:val="24"/>
        </w:rPr>
        <w:t>按月据实结算，每月1日至5日递交上月结算数据，结算价格以采购人和成交供应商双方共同在本区域内“农贸批发市场”和“大型生活超市”两</w:t>
      </w:r>
      <w:r>
        <w:rPr>
          <w:rFonts w:hint="eastAsia" w:ascii="宋体" w:hAnsi="宋体" w:eastAsia="宋体" w:cs="宋体"/>
          <w:sz w:val="24"/>
          <w:szCs w:val="24"/>
          <w:lang w:val="en-US" w:eastAsia="zh-CN"/>
        </w:rPr>
        <w:t>处</w:t>
      </w:r>
      <w:r>
        <w:rPr>
          <w:rFonts w:hint="eastAsia" w:ascii="宋体" w:hAnsi="宋体" w:eastAsia="宋体" w:cs="宋体"/>
          <w:sz w:val="24"/>
          <w:szCs w:val="24"/>
        </w:rPr>
        <w:t>询价的平均值作为价格基数*投标人食材费率*供货数量。</w:t>
      </w:r>
    </w:p>
    <w:p w14:paraId="55F55742">
      <w:pPr>
        <w:pStyle w:val="3"/>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成交供应商在接受采购人的每一笔付款前，应向采购人方开具相应金额的发票，由采购人办理完相关财政支付手续后支付该笔款项。</w:t>
      </w:r>
    </w:p>
    <w:p w14:paraId="372C77D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8"/>
          <w:sz w:val="24"/>
          <w:szCs w:val="24"/>
        </w:rPr>
        <w:t>四、保密条款</w:t>
      </w:r>
    </w:p>
    <w:p w14:paraId="2641E08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1、乙方人员在甲方工作期间获得及接触的甲方的任何形式的保密信息，乙方人员</w:t>
      </w:r>
      <w:r>
        <w:rPr>
          <w:rFonts w:hint="eastAsia" w:ascii="宋体" w:hAnsi="宋体" w:eastAsia="宋体" w:cs="宋体"/>
          <w:spacing w:val="5"/>
          <w:sz w:val="24"/>
          <w:szCs w:val="24"/>
        </w:rPr>
        <w:t>不得在本协议目的之外使用，也不得向任何第三方提供这些信息和</w:t>
      </w:r>
      <w:r>
        <w:rPr>
          <w:rFonts w:hint="eastAsia" w:ascii="宋体" w:hAnsi="宋体" w:eastAsia="宋体" w:cs="宋体"/>
          <w:spacing w:val="4"/>
          <w:sz w:val="24"/>
          <w:szCs w:val="24"/>
        </w:rPr>
        <w:t>接触这些信息的手</w:t>
      </w:r>
      <w:r>
        <w:rPr>
          <w:rFonts w:hint="eastAsia" w:ascii="宋体" w:hAnsi="宋体" w:eastAsia="宋体" w:cs="宋体"/>
          <w:spacing w:val="-6"/>
          <w:sz w:val="24"/>
          <w:szCs w:val="24"/>
        </w:rPr>
        <w:t>段。</w:t>
      </w:r>
    </w:p>
    <w:p w14:paraId="696AC38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2、乙方应管理和教育好拟派人员遵守甲方的保密</w:t>
      </w:r>
      <w:r>
        <w:rPr>
          <w:rFonts w:hint="eastAsia" w:ascii="宋体" w:hAnsi="宋体" w:eastAsia="宋体" w:cs="宋体"/>
          <w:spacing w:val="1"/>
          <w:sz w:val="24"/>
          <w:szCs w:val="24"/>
        </w:rPr>
        <w:t>规定。如果乙方人员违反甲方的</w:t>
      </w:r>
      <w:r>
        <w:rPr>
          <w:rFonts w:hint="eastAsia" w:ascii="宋体" w:hAnsi="宋体" w:eastAsia="宋体" w:cs="宋体"/>
          <w:spacing w:val="-1"/>
          <w:sz w:val="24"/>
          <w:szCs w:val="24"/>
        </w:rPr>
        <w:t>保密要求，给甲方造成损失，甲方有权利追究乙方的责任。</w:t>
      </w:r>
    </w:p>
    <w:p w14:paraId="0C27C21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五、违约责任</w:t>
      </w:r>
    </w:p>
    <w:p w14:paraId="73B96BE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9"/>
        <w:textAlignment w:val="baseline"/>
        <w:rPr>
          <w:rFonts w:hint="eastAsia" w:ascii="宋体" w:hAnsi="宋体" w:eastAsia="宋体" w:cs="宋体"/>
          <w:sz w:val="24"/>
          <w:szCs w:val="24"/>
        </w:rPr>
      </w:pPr>
      <w:r>
        <w:rPr>
          <w:rFonts w:hint="eastAsia" w:ascii="宋体" w:hAnsi="宋体" w:eastAsia="宋体" w:cs="宋体"/>
          <w:spacing w:val="1"/>
          <w:sz w:val="24"/>
          <w:szCs w:val="24"/>
        </w:rPr>
        <w:t>1、甲乙双方如因为其他原因要解除合约，应提前一个月通知对方，如有一方违反</w:t>
      </w:r>
      <w:r>
        <w:rPr>
          <w:rFonts w:hint="eastAsia" w:ascii="宋体" w:hAnsi="宋体" w:eastAsia="宋体" w:cs="宋体"/>
          <w:sz w:val="24"/>
          <w:szCs w:val="24"/>
        </w:rPr>
        <w:t>将补偿对方一个月服务费，同时按照相关法律</w:t>
      </w:r>
      <w:r>
        <w:rPr>
          <w:rFonts w:hint="eastAsia" w:ascii="宋体" w:hAnsi="宋体" w:eastAsia="宋体" w:cs="宋体"/>
          <w:spacing w:val="-1"/>
          <w:sz w:val="24"/>
          <w:szCs w:val="24"/>
        </w:rPr>
        <w:t>法规承担相应处罚。</w:t>
      </w:r>
    </w:p>
    <w:p w14:paraId="5B4C9BC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2、乙方不认真履行合同条款或因其它理由突然终</w:t>
      </w:r>
      <w:r>
        <w:rPr>
          <w:rFonts w:hint="eastAsia" w:ascii="宋体" w:hAnsi="宋体" w:eastAsia="宋体" w:cs="宋体"/>
          <w:spacing w:val="1"/>
          <w:sz w:val="24"/>
          <w:szCs w:val="24"/>
        </w:rPr>
        <w:t>止合同，视为乙方单方违约，甲</w:t>
      </w:r>
      <w:r>
        <w:rPr>
          <w:rFonts w:hint="eastAsia" w:ascii="宋体" w:hAnsi="宋体" w:eastAsia="宋体" w:cs="宋体"/>
          <w:spacing w:val="-1"/>
          <w:sz w:val="24"/>
          <w:szCs w:val="24"/>
        </w:rPr>
        <w:t>方即废除同乙方合同，乙方须赔偿甲方当月服务费。</w:t>
      </w:r>
    </w:p>
    <w:p w14:paraId="14273D7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3、甲方无正当理由拒付乙方服务费或无故拖</w:t>
      </w:r>
      <w:r>
        <w:rPr>
          <w:rFonts w:hint="eastAsia" w:ascii="宋体" w:hAnsi="宋体" w:eastAsia="宋体" w:cs="宋体"/>
          <w:spacing w:val="1"/>
          <w:sz w:val="24"/>
          <w:szCs w:val="24"/>
        </w:rPr>
        <w:t>欠服务费一个月以上时，乙方有权单</w:t>
      </w:r>
      <w:r>
        <w:rPr>
          <w:rFonts w:hint="eastAsia" w:ascii="宋体" w:hAnsi="宋体" w:eastAsia="宋体" w:cs="宋体"/>
          <w:spacing w:val="-1"/>
          <w:sz w:val="24"/>
          <w:szCs w:val="24"/>
        </w:rPr>
        <w:t>方解除合同并撤回派驻人员。甲方须承担追加一个月服务费违约金。</w:t>
      </w:r>
    </w:p>
    <w:p w14:paraId="5FD4E52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9"/>
        <w:textAlignment w:val="baseline"/>
        <w:rPr>
          <w:rFonts w:hint="eastAsia" w:ascii="宋体" w:hAnsi="宋体" w:eastAsia="宋体" w:cs="宋体"/>
          <w:sz w:val="24"/>
          <w:szCs w:val="24"/>
        </w:rPr>
      </w:pPr>
      <w:r>
        <w:rPr>
          <w:rFonts w:hint="eastAsia" w:ascii="宋体" w:hAnsi="宋体" w:eastAsia="宋体" w:cs="宋体"/>
          <w:spacing w:val="2"/>
          <w:sz w:val="24"/>
          <w:szCs w:val="24"/>
        </w:rPr>
        <w:t>4、乙方在工作中故意或疏忽而出现的责任事故因乙方原因</w:t>
      </w:r>
      <w:r>
        <w:rPr>
          <w:rFonts w:hint="eastAsia" w:ascii="宋体" w:hAnsi="宋体" w:eastAsia="宋体" w:cs="宋体"/>
          <w:spacing w:val="1"/>
          <w:sz w:val="24"/>
          <w:szCs w:val="24"/>
        </w:rPr>
        <w:t>造成他人人身伤害、财</w:t>
      </w:r>
      <w:r>
        <w:rPr>
          <w:rFonts w:hint="eastAsia" w:ascii="宋体" w:hAnsi="宋体" w:eastAsia="宋体" w:cs="宋体"/>
          <w:spacing w:val="-2"/>
          <w:sz w:val="24"/>
          <w:szCs w:val="24"/>
        </w:rPr>
        <w:t>产损失及严重损失甲方声誉的，每出现一次，乙方除承担相关赔偿责任，甲方有权单方面解除本合同。</w:t>
      </w:r>
    </w:p>
    <w:p w14:paraId="31BAC7E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5、乙方人员违反合同所约定之义务，影响合同约定</w:t>
      </w:r>
      <w:r>
        <w:rPr>
          <w:rFonts w:hint="eastAsia" w:ascii="宋体" w:hAnsi="宋体" w:eastAsia="宋体" w:cs="宋体"/>
          <w:spacing w:val="1"/>
          <w:sz w:val="24"/>
          <w:szCs w:val="24"/>
        </w:rPr>
        <w:t>区域的安全或导致甲方其他方</w:t>
      </w:r>
      <w:r>
        <w:rPr>
          <w:rFonts w:hint="eastAsia" w:ascii="宋体" w:hAnsi="宋体" w:eastAsia="宋体" w:cs="宋体"/>
          <w:spacing w:val="-1"/>
          <w:sz w:val="24"/>
          <w:szCs w:val="24"/>
        </w:rPr>
        <w:t>面损害，经甲方书面警告仍无整改，甲方有权单方面终</w:t>
      </w:r>
      <w:r>
        <w:rPr>
          <w:rFonts w:hint="eastAsia" w:ascii="宋体" w:hAnsi="宋体" w:eastAsia="宋体" w:cs="宋体"/>
          <w:spacing w:val="-2"/>
          <w:sz w:val="24"/>
          <w:szCs w:val="24"/>
        </w:rPr>
        <w:t>止合同，而无须承担任何责任。</w:t>
      </w:r>
    </w:p>
    <w:p w14:paraId="5DAE093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3"/>
          <w:sz w:val="24"/>
          <w:szCs w:val="24"/>
        </w:rPr>
        <w:t>六、合同争议的解决</w:t>
      </w:r>
    </w:p>
    <w:p w14:paraId="23ADC97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7"/>
        <w:textAlignment w:val="baseline"/>
        <w:rPr>
          <w:rFonts w:hint="eastAsia" w:ascii="宋体" w:hAnsi="宋体" w:eastAsia="宋体" w:cs="宋体"/>
          <w:sz w:val="24"/>
          <w:szCs w:val="24"/>
        </w:rPr>
      </w:pPr>
      <w:r>
        <w:rPr>
          <w:rFonts w:hint="eastAsia" w:ascii="宋体" w:hAnsi="宋体" w:eastAsia="宋体" w:cs="宋体"/>
          <w:spacing w:val="-2"/>
          <w:sz w:val="24"/>
          <w:szCs w:val="24"/>
        </w:rPr>
        <w:t>合同一经签订，不得随意变更、中止或终止。对确需变更、调整或者中止、终止合</w:t>
      </w:r>
      <w:r>
        <w:rPr>
          <w:rFonts w:hint="eastAsia" w:ascii="宋体" w:hAnsi="宋体" w:eastAsia="宋体" w:cs="宋体"/>
          <w:spacing w:val="-3"/>
          <w:sz w:val="24"/>
          <w:szCs w:val="24"/>
        </w:rPr>
        <w:t>同的，应按规定履行相应的手续。</w:t>
      </w:r>
    </w:p>
    <w:p w14:paraId="4BAAC42C">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合同执行中发生争议的，甲、乙双方应协商解决，协商达不成一致时，可向甲方所</w:t>
      </w:r>
      <w:r>
        <w:rPr>
          <w:rFonts w:hint="eastAsia" w:ascii="宋体" w:hAnsi="宋体" w:eastAsia="宋体" w:cs="宋体"/>
          <w:spacing w:val="-1"/>
          <w:sz w:val="24"/>
          <w:szCs w:val="24"/>
        </w:rPr>
        <w:t>在地人民法院提请诉讼。</w:t>
      </w:r>
    </w:p>
    <w:p w14:paraId="1AFA054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七、其它事项</w:t>
      </w:r>
    </w:p>
    <w:p w14:paraId="4545745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1、甲、乙双方作为合同执行的主体，有义务及时完全履行合同。</w:t>
      </w:r>
    </w:p>
    <w:p w14:paraId="08EEB38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2、合同未尽事宜，由甲、乙双方协商签订补充协议，作为本合同不可分割的组成</w:t>
      </w:r>
      <w:r>
        <w:rPr>
          <w:rFonts w:hint="eastAsia" w:ascii="宋体" w:hAnsi="宋体" w:eastAsia="宋体" w:cs="宋体"/>
          <w:spacing w:val="-1"/>
          <w:sz w:val="24"/>
          <w:szCs w:val="24"/>
        </w:rPr>
        <w:t>部分，与本合同具有同等法律效力。</w:t>
      </w:r>
    </w:p>
    <w:p w14:paraId="57EBFE7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3、磋商文件和乙方的磋商响应文件以及合同附件均为合同不可分割的部分。</w:t>
      </w:r>
    </w:p>
    <w:p w14:paraId="60E4C19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4、合同一式</w:t>
      </w:r>
      <w:r>
        <w:rPr>
          <w:rFonts w:hint="eastAsia" w:ascii="宋体" w:hAnsi="宋体" w:eastAsia="宋体" w:cs="宋体"/>
          <w:spacing w:val="-117"/>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份，甲方持</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份、乙方执</w:t>
      </w:r>
      <w:r>
        <w:rPr>
          <w:rFonts w:hint="eastAsia" w:ascii="宋体" w:hAnsi="宋体" w:eastAsia="宋体" w:cs="宋体"/>
          <w:spacing w:val="-118"/>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rPr>
        <w:t>份。双方签字盖章后生效，合同执</w:t>
      </w:r>
      <w:r>
        <w:rPr>
          <w:rFonts w:hint="eastAsia" w:ascii="宋体" w:hAnsi="宋体" w:eastAsia="宋体" w:cs="宋体"/>
          <w:spacing w:val="-2"/>
          <w:sz w:val="24"/>
          <w:szCs w:val="24"/>
        </w:rPr>
        <w:t>行完毕自动失效。</w:t>
      </w:r>
    </w:p>
    <w:p w14:paraId="6F29A0FD">
      <w:pPr>
        <w:rPr>
          <w:rFonts w:hint="eastAsia" w:ascii="宋体" w:hAnsi="宋体" w:eastAsia="宋体" w:cs="宋体"/>
          <w:sz w:val="24"/>
          <w:szCs w:val="24"/>
        </w:rPr>
      </w:pPr>
      <w:r>
        <w:rPr>
          <w:rFonts w:hint="eastAsia" w:ascii="宋体" w:hAnsi="宋体" w:eastAsia="宋体" w:cs="宋体"/>
          <w:sz w:val="24"/>
          <w:szCs w:val="24"/>
        </w:rPr>
        <w:br w:type="page"/>
      </w:r>
    </w:p>
    <w:p w14:paraId="75351720">
      <w:pPr>
        <w:pStyle w:val="2"/>
        <w:rPr>
          <w:rFonts w:hint="eastAsia"/>
        </w:rPr>
      </w:pPr>
    </w:p>
    <w:tbl>
      <w:tblPr>
        <w:tblStyle w:val="10"/>
        <w:tblW w:w="87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10676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364" w:type="dxa"/>
            <w:shd w:val="clear" w:color="auto" w:fill="D8D8D8"/>
            <w:vAlign w:val="top"/>
          </w:tcPr>
          <w:p w14:paraId="27AF628F">
            <w:pPr>
              <w:pStyle w:val="9"/>
              <w:keepNext w:val="0"/>
              <w:keepLines w:val="0"/>
              <w:pageBreakBefore w:val="0"/>
              <w:wordWrap/>
              <w:overflowPunct/>
              <w:topLinePunct w:val="0"/>
              <w:bidi w:val="0"/>
              <w:spacing w:line="500" w:lineRule="exact"/>
              <w:ind w:left="1921"/>
              <w:rPr>
                <w:rFonts w:hint="eastAsia" w:ascii="宋体" w:hAnsi="宋体" w:eastAsia="宋体" w:cs="宋体"/>
                <w:sz w:val="24"/>
                <w:szCs w:val="24"/>
              </w:rPr>
            </w:pPr>
            <w:r>
              <w:rPr>
                <w:rFonts w:hint="eastAsia" w:ascii="宋体" w:hAnsi="宋体" w:eastAsia="宋体" w:cs="宋体"/>
                <w:b/>
                <w:bCs/>
                <w:spacing w:val="-23"/>
                <w:sz w:val="24"/>
                <w:szCs w:val="24"/>
              </w:rPr>
              <w:t>甲</w:t>
            </w:r>
            <w:r>
              <w:rPr>
                <w:rFonts w:hint="eastAsia" w:ascii="宋体" w:hAnsi="宋体" w:eastAsia="宋体" w:cs="宋体"/>
                <w:spacing w:val="10"/>
                <w:sz w:val="24"/>
                <w:szCs w:val="24"/>
              </w:rPr>
              <w:t xml:space="preserve"> </w:t>
            </w:r>
            <w:r>
              <w:rPr>
                <w:rFonts w:hint="eastAsia" w:ascii="宋体" w:hAnsi="宋体" w:eastAsia="宋体" w:cs="宋体"/>
                <w:b/>
                <w:bCs/>
                <w:spacing w:val="-23"/>
                <w:sz w:val="24"/>
                <w:szCs w:val="24"/>
              </w:rPr>
              <w:t>方</w:t>
            </w:r>
          </w:p>
        </w:tc>
        <w:tc>
          <w:tcPr>
            <w:tcW w:w="4347" w:type="dxa"/>
            <w:shd w:val="clear" w:color="auto" w:fill="D8D8D8"/>
            <w:vAlign w:val="top"/>
          </w:tcPr>
          <w:p w14:paraId="3455315E">
            <w:pPr>
              <w:pStyle w:val="9"/>
              <w:keepNext w:val="0"/>
              <w:keepLines w:val="0"/>
              <w:pageBreakBefore w:val="0"/>
              <w:wordWrap/>
              <w:overflowPunct/>
              <w:topLinePunct w:val="0"/>
              <w:bidi w:val="0"/>
              <w:spacing w:line="500" w:lineRule="exact"/>
              <w:ind w:left="1840"/>
              <w:rPr>
                <w:rFonts w:hint="eastAsia" w:ascii="宋体" w:hAnsi="宋体" w:eastAsia="宋体" w:cs="宋体"/>
                <w:sz w:val="24"/>
                <w:szCs w:val="24"/>
              </w:rPr>
            </w:pPr>
            <w:r>
              <w:rPr>
                <w:rFonts w:hint="eastAsia" w:ascii="宋体" w:hAnsi="宋体" w:eastAsia="宋体" w:cs="宋体"/>
                <w:b/>
                <w:bCs/>
                <w:spacing w:val="-19"/>
                <w:sz w:val="24"/>
                <w:szCs w:val="24"/>
              </w:rPr>
              <w:t>乙</w:t>
            </w:r>
            <w:r>
              <w:rPr>
                <w:rFonts w:hint="eastAsia" w:ascii="宋体" w:hAnsi="宋体" w:eastAsia="宋体" w:cs="宋体"/>
                <w:spacing w:val="6"/>
                <w:sz w:val="24"/>
                <w:szCs w:val="24"/>
              </w:rPr>
              <w:t xml:space="preserve"> </w:t>
            </w:r>
            <w:r>
              <w:rPr>
                <w:rFonts w:hint="eastAsia" w:ascii="宋体" w:hAnsi="宋体" w:eastAsia="宋体" w:cs="宋体"/>
                <w:b/>
                <w:bCs/>
                <w:spacing w:val="-19"/>
                <w:sz w:val="24"/>
                <w:szCs w:val="24"/>
              </w:rPr>
              <w:t>方</w:t>
            </w:r>
          </w:p>
        </w:tc>
      </w:tr>
      <w:tr w14:paraId="28F1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364" w:type="dxa"/>
            <w:vAlign w:val="top"/>
          </w:tcPr>
          <w:p w14:paraId="2510245D">
            <w:pPr>
              <w:pStyle w:val="9"/>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2"/>
                <w:sz w:val="24"/>
                <w:szCs w:val="24"/>
              </w:rPr>
              <w:t>采购人（公章）</w:t>
            </w:r>
          </w:p>
        </w:tc>
        <w:tc>
          <w:tcPr>
            <w:tcW w:w="4347" w:type="dxa"/>
            <w:vAlign w:val="top"/>
          </w:tcPr>
          <w:p w14:paraId="09B290A2">
            <w:pPr>
              <w:pStyle w:val="9"/>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成交供应商（公章）</w:t>
            </w:r>
          </w:p>
        </w:tc>
      </w:tr>
      <w:tr w14:paraId="43FC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7833EE32">
            <w:pPr>
              <w:pStyle w:val="9"/>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4"/>
                <w:sz w:val="24"/>
                <w:szCs w:val="24"/>
              </w:rPr>
              <w:t>地址：</w:t>
            </w:r>
          </w:p>
        </w:tc>
        <w:tc>
          <w:tcPr>
            <w:tcW w:w="4347" w:type="dxa"/>
            <w:vAlign w:val="top"/>
          </w:tcPr>
          <w:p w14:paraId="46C48E2D">
            <w:pPr>
              <w:pStyle w:val="9"/>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4"/>
                <w:sz w:val="24"/>
                <w:szCs w:val="24"/>
              </w:rPr>
              <w:t>地址：</w:t>
            </w:r>
          </w:p>
        </w:tc>
      </w:tr>
      <w:tr w14:paraId="26639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6F5ED84E">
            <w:pPr>
              <w:pStyle w:val="9"/>
              <w:keepNext w:val="0"/>
              <w:keepLines w:val="0"/>
              <w:pageBreakBefore w:val="0"/>
              <w:wordWrap/>
              <w:overflowPunct/>
              <w:topLinePunct w:val="0"/>
              <w:bidi w:val="0"/>
              <w:spacing w:line="500" w:lineRule="exact"/>
              <w:ind w:left="134"/>
              <w:rPr>
                <w:rFonts w:hint="eastAsia" w:ascii="宋体" w:hAnsi="宋体" w:eastAsia="宋体" w:cs="宋体"/>
                <w:sz w:val="24"/>
                <w:szCs w:val="24"/>
              </w:rPr>
            </w:pPr>
            <w:r>
              <w:rPr>
                <w:rFonts w:hint="eastAsia" w:ascii="宋体" w:hAnsi="宋体" w:eastAsia="宋体" w:cs="宋体"/>
                <w:spacing w:val="-10"/>
                <w:sz w:val="24"/>
                <w:szCs w:val="24"/>
              </w:rPr>
              <w:t>邮编：</w:t>
            </w:r>
          </w:p>
        </w:tc>
        <w:tc>
          <w:tcPr>
            <w:tcW w:w="4347" w:type="dxa"/>
            <w:vAlign w:val="top"/>
          </w:tcPr>
          <w:p w14:paraId="638F7828">
            <w:pPr>
              <w:pStyle w:val="9"/>
              <w:keepNext w:val="0"/>
              <w:keepLines w:val="0"/>
              <w:pageBreakBefore w:val="0"/>
              <w:wordWrap/>
              <w:overflowPunct/>
              <w:topLinePunct w:val="0"/>
              <w:bidi w:val="0"/>
              <w:spacing w:line="500" w:lineRule="exact"/>
              <w:ind w:left="133"/>
              <w:rPr>
                <w:rFonts w:hint="eastAsia" w:ascii="宋体" w:hAnsi="宋体" w:eastAsia="宋体" w:cs="宋体"/>
                <w:sz w:val="24"/>
                <w:szCs w:val="24"/>
              </w:rPr>
            </w:pPr>
            <w:r>
              <w:rPr>
                <w:rFonts w:hint="eastAsia" w:ascii="宋体" w:hAnsi="宋体" w:eastAsia="宋体" w:cs="宋体"/>
                <w:spacing w:val="-10"/>
                <w:sz w:val="24"/>
                <w:szCs w:val="24"/>
              </w:rPr>
              <w:t>邮编：</w:t>
            </w:r>
          </w:p>
        </w:tc>
      </w:tr>
      <w:tr w14:paraId="19969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78C4483A">
            <w:pPr>
              <w:pStyle w:val="9"/>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4347" w:type="dxa"/>
            <w:vAlign w:val="top"/>
          </w:tcPr>
          <w:p w14:paraId="0EEA5A29">
            <w:pPr>
              <w:pStyle w:val="9"/>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2"/>
                <w:sz w:val="24"/>
                <w:szCs w:val="24"/>
              </w:rPr>
              <w:t>法定代表人：</w:t>
            </w:r>
          </w:p>
        </w:tc>
      </w:tr>
      <w:tr w14:paraId="26CF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10648C99">
            <w:pPr>
              <w:pStyle w:val="9"/>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c>
          <w:tcPr>
            <w:tcW w:w="4347" w:type="dxa"/>
            <w:vAlign w:val="top"/>
          </w:tcPr>
          <w:p w14:paraId="72B1ADF7">
            <w:pPr>
              <w:pStyle w:val="9"/>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r>
      <w:tr w14:paraId="072E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65E29446">
            <w:pPr>
              <w:pStyle w:val="9"/>
              <w:keepNext w:val="0"/>
              <w:keepLines w:val="0"/>
              <w:pageBreakBefore w:val="0"/>
              <w:wordWrap/>
              <w:overflowPunct/>
              <w:topLinePunct w:val="0"/>
              <w:bidi w:val="0"/>
              <w:spacing w:line="500" w:lineRule="exact"/>
              <w:ind w:left="144"/>
              <w:rPr>
                <w:rFonts w:hint="eastAsia" w:ascii="宋体" w:hAnsi="宋体" w:eastAsia="宋体" w:cs="宋体"/>
                <w:sz w:val="24"/>
                <w:szCs w:val="24"/>
              </w:rPr>
            </w:pPr>
            <w:r>
              <w:rPr>
                <w:rFonts w:hint="eastAsia" w:ascii="宋体" w:hAnsi="宋体" w:eastAsia="宋体" w:cs="宋体"/>
                <w:spacing w:val="-13"/>
                <w:sz w:val="24"/>
                <w:szCs w:val="24"/>
              </w:rPr>
              <w:t>电话：</w:t>
            </w:r>
          </w:p>
        </w:tc>
        <w:tc>
          <w:tcPr>
            <w:tcW w:w="4347" w:type="dxa"/>
            <w:vAlign w:val="top"/>
          </w:tcPr>
          <w:p w14:paraId="533B316E">
            <w:pPr>
              <w:pStyle w:val="9"/>
              <w:keepNext w:val="0"/>
              <w:keepLines w:val="0"/>
              <w:pageBreakBefore w:val="0"/>
              <w:wordWrap/>
              <w:overflowPunct/>
              <w:topLinePunct w:val="0"/>
              <w:bidi w:val="0"/>
              <w:spacing w:line="500" w:lineRule="exact"/>
              <w:ind w:left="143"/>
              <w:rPr>
                <w:rFonts w:hint="eastAsia" w:ascii="宋体" w:hAnsi="宋体" w:eastAsia="宋体" w:cs="宋体"/>
                <w:sz w:val="24"/>
                <w:szCs w:val="24"/>
              </w:rPr>
            </w:pPr>
            <w:r>
              <w:rPr>
                <w:rFonts w:hint="eastAsia" w:ascii="宋体" w:hAnsi="宋体" w:eastAsia="宋体" w:cs="宋体"/>
                <w:spacing w:val="-13"/>
                <w:sz w:val="24"/>
                <w:szCs w:val="24"/>
              </w:rPr>
              <w:t>电话：</w:t>
            </w:r>
          </w:p>
        </w:tc>
      </w:tr>
      <w:tr w14:paraId="40214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55ABFB96">
            <w:pPr>
              <w:pStyle w:val="9"/>
              <w:keepNext w:val="0"/>
              <w:keepLines w:val="0"/>
              <w:pageBreakBefore w:val="0"/>
              <w:wordWrap/>
              <w:overflowPunct/>
              <w:topLinePunct w:val="0"/>
              <w:bidi w:val="0"/>
              <w:spacing w:line="500" w:lineRule="exact"/>
              <w:ind w:left="114"/>
              <w:rPr>
                <w:rFonts w:hint="eastAsia" w:ascii="宋体" w:hAnsi="宋体" w:eastAsia="宋体" w:cs="宋体"/>
                <w:sz w:val="24"/>
                <w:szCs w:val="24"/>
              </w:rPr>
            </w:pPr>
            <w:r>
              <w:rPr>
                <w:rFonts w:hint="eastAsia" w:ascii="宋体" w:hAnsi="宋体" w:eastAsia="宋体" w:cs="宋体"/>
                <w:spacing w:val="-3"/>
                <w:sz w:val="24"/>
                <w:szCs w:val="24"/>
              </w:rPr>
              <w:t>传真：</w:t>
            </w:r>
          </w:p>
        </w:tc>
        <w:tc>
          <w:tcPr>
            <w:tcW w:w="4347" w:type="dxa"/>
            <w:vAlign w:val="top"/>
          </w:tcPr>
          <w:p w14:paraId="5C4452BC">
            <w:pPr>
              <w:pStyle w:val="9"/>
              <w:keepNext w:val="0"/>
              <w:keepLines w:val="0"/>
              <w:pageBreakBefore w:val="0"/>
              <w:wordWrap/>
              <w:overflowPunct/>
              <w:topLinePunct w:val="0"/>
              <w:bidi w:val="0"/>
              <w:spacing w:line="500" w:lineRule="exact"/>
              <w:ind w:left="113"/>
              <w:rPr>
                <w:rFonts w:hint="eastAsia" w:ascii="宋体" w:hAnsi="宋体" w:eastAsia="宋体" w:cs="宋体"/>
                <w:sz w:val="24"/>
                <w:szCs w:val="24"/>
              </w:rPr>
            </w:pPr>
            <w:r>
              <w:rPr>
                <w:rFonts w:hint="eastAsia" w:ascii="宋体" w:hAnsi="宋体" w:eastAsia="宋体" w:cs="宋体"/>
                <w:spacing w:val="-3"/>
                <w:sz w:val="24"/>
                <w:szCs w:val="24"/>
              </w:rPr>
              <w:t>传真：</w:t>
            </w:r>
          </w:p>
        </w:tc>
      </w:tr>
      <w:tr w14:paraId="7C6DA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04D5DD26">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37920D56">
            <w:pPr>
              <w:pStyle w:val="9"/>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3"/>
                <w:sz w:val="24"/>
                <w:szCs w:val="24"/>
              </w:rPr>
              <w:t>开户银行：</w:t>
            </w:r>
          </w:p>
        </w:tc>
      </w:tr>
      <w:tr w14:paraId="6BA4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2E43CBA7">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039DA34B">
            <w:pPr>
              <w:pStyle w:val="9"/>
              <w:keepNext w:val="0"/>
              <w:keepLines w:val="0"/>
              <w:pageBreakBefore w:val="0"/>
              <w:wordWrap/>
              <w:overflowPunct/>
              <w:topLinePunct w:val="0"/>
              <w:bidi w:val="0"/>
              <w:spacing w:line="500" w:lineRule="exact"/>
              <w:ind w:left="119"/>
              <w:rPr>
                <w:rFonts w:hint="eastAsia" w:ascii="宋体" w:hAnsi="宋体" w:eastAsia="宋体" w:cs="宋体"/>
                <w:sz w:val="24"/>
                <w:szCs w:val="24"/>
              </w:rPr>
            </w:pPr>
            <w:r>
              <w:rPr>
                <w:rFonts w:hint="eastAsia" w:ascii="宋体" w:hAnsi="宋体" w:eastAsia="宋体" w:cs="宋体"/>
                <w:spacing w:val="-5"/>
                <w:sz w:val="24"/>
                <w:szCs w:val="24"/>
              </w:rPr>
              <w:t>账号：</w:t>
            </w:r>
          </w:p>
        </w:tc>
      </w:tr>
      <w:tr w14:paraId="217D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6FF80712">
            <w:pPr>
              <w:pStyle w:val="9"/>
              <w:keepNext w:val="0"/>
              <w:keepLines w:val="0"/>
              <w:pageBreakBefore w:val="0"/>
              <w:wordWrap/>
              <w:overflowPunct/>
              <w:topLinePunct w:val="0"/>
              <w:bidi w:val="0"/>
              <w:spacing w:line="500" w:lineRule="exact"/>
              <w:ind w:left="157"/>
              <w:rPr>
                <w:rFonts w:hint="eastAsia" w:ascii="宋体" w:hAnsi="宋体" w:eastAsia="宋体" w:cs="宋体"/>
                <w:sz w:val="24"/>
                <w:szCs w:val="24"/>
              </w:rPr>
            </w:pPr>
            <w:r>
              <w:rPr>
                <w:rFonts w:hint="eastAsia" w:ascii="宋体" w:hAnsi="宋体" w:eastAsia="宋体" w:cs="宋体"/>
                <w:spacing w:val="-13"/>
                <w:sz w:val="24"/>
                <w:szCs w:val="24"/>
              </w:rPr>
              <w:t>日期</w:t>
            </w:r>
            <w:r>
              <w:rPr>
                <w:rFonts w:hint="eastAsia" w:ascii="宋体" w:hAnsi="宋体" w:eastAsia="宋体" w:cs="宋体"/>
                <w:spacing w:val="-13"/>
                <w:sz w:val="24"/>
                <w:szCs w:val="24"/>
                <w:lang w:eastAsia="zh-CN"/>
              </w:rPr>
              <w:t>：</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c>
          <w:tcPr>
            <w:tcW w:w="4347" w:type="dxa"/>
            <w:vAlign w:val="top"/>
          </w:tcPr>
          <w:p w14:paraId="5AFAA4D4">
            <w:pPr>
              <w:pStyle w:val="9"/>
              <w:keepNext w:val="0"/>
              <w:keepLines w:val="0"/>
              <w:pageBreakBefore w:val="0"/>
              <w:wordWrap/>
              <w:overflowPunct/>
              <w:topLinePunct w:val="0"/>
              <w:bidi w:val="0"/>
              <w:spacing w:line="500" w:lineRule="exact"/>
              <w:ind w:left="157"/>
              <w:outlineLvl w:val="0"/>
              <w:rPr>
                <w:rFonts w:hint="eastAsia" w:ascii="宋体" w:hAnsi="宋体" w:eastAsia="宋体" w:cs="宋体"/>
                <w:sz w:val="24"/>
                <w:szCs w:val="24"/>
              </w:rPr>
            </w:pPr>
            <w:bookmarkStart w:id="0" w:name="bookmark7"/>
            <w:bookmarkEnd w:id="0"/>
            <w:r>
              <w:rPr>
                <w:rFonts w:hint="eastAsia" w:ascii="宋体" w:hAnsi="宋体" w:eastAsia="宋体" w:cs="宋体"/>
                <w:spacing w:val="-13"/>
                <w:sz w:val="24"/>
                <w:szCs w:val="24"/>
              </w:rPr>
              <w:t>日期：</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r>
    </w:tbl>
    <w:p w14:paraId="19AB3A3E">
      <w:pPr>
        <w:keepNext w:val="0"/>
        <w:keepLines w:val="0"/>
        <w:pageBreakBefore w:val="0"/>
        <w:wordWrap/>
        <w:overflowPunct/>
        <w:topLinePunct w:val="0"/>
        <w:bidi w:val="0"/>
        <w:spacing w:line="500" w:lineRule="exact"/>
        <w:rPr>
          <w:rFonts w:hint="eastAsia" w:ascii="宋体" w:hAnsi="宋体" w:eastAsia="宋体" w:cs="宋体"/>
          <w:sz w:val="24"/>
          <w:szCs w:val="24"/>
        </w:rPr>
      </w:pPr>
    </w:p>
    <w:sectPr>
      <w:footerReference r:id="rId7" w:type="default"/>
      <w:pgSz w:w="11906" w:h="16838"/>
      <w:pgMar w:top="1440" w:right="1757" w:bottom="1440" w:left="1757"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597BE">
    <w:pPr>
      <w:spacing w:line="176" w:lineRule="auto"/>
      <w:ind w:left="4081"/>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44D4C">
    <w:pPr>
      <w:spacing w:line="176" w:lineRule="auto"/>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9DFD1">
    <w:pPr>
      <w:pStyle w:val="4"/>
      <w:tabs>
        <w:tab w:val="left" w:pos="7140"/>
      </w:tabs>
      <w:spacing w:line="14" w:lineRule="auto"/>
      <w:rPr>
        <w:rFonts w:hint="eastAsia" w:eastAsia="宋体"/>
        <w:sz w:val="2"/>
        <w:lang w:val="en-US" w:eastAsia="zh-CN"/>
      </w:rPr>
    </w:pPr>
    <w:r>
      <w:rPr>
        <w:rFonts w:hint="eastAsia" w:eastAsia="宋体"/>
        <w:sz w:val="2"/>
        <w:lang w:val="en-US"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315" w:firstLine="0"/>
      </w:pPr>
      <w:rPr>
        <w:rFonts w:hint="eastAsia" w:ascii="仿宋_GB2312" w:hAnsi="Times New Roman" w:eastAsia="仿宋_GB2312"/>
        <w:b/>
        <w:i w:val="0"/>
        <w:sz w:val="32"/>
        <w:szCs w:val="32"/>
      </w:rPr>
    </w:lvl>
    <w:lvl w:ilvl="1" w:tentative="0">
      <w:start w:val="1"/>
      <w:numFmt w:val="decimal"/>
      <w:pStyle w:val="11"/>
      <w:suff w:val="nothing"/>
      <w:lvlText w:val="%1.%2　"/>
      <w:lvlJc w:val="left"/>
      <w:pPr>
        <w:ind w:left="105" w:firstLine="0"/>
      </w:pPr>
      <w:rPr>
        <w:rFonts w:hint="eastAsia" w:ascii="仿宋_GB2312" w:hAnsi="Times New Roman" w:eastAsia="仿宋_GB2312" w:cs="Times New Roman"/>
        <w:b w:val="0"/>
        <w:bCs w:val="0"/>
        <w:i w:val="0"/>
        <w:iCs w:val="0"/>
        <w:caps w:val="0"/>
        <w:strike w:val="0"/>
        <w:dstrike w:val="0"/>
        <w:vanish w:val="0"/>
        <w:spacing w:val="0"/>
        <w:kern w:val="0"/>
        <w:position w:val="0"/>
        <w:sz w:val="32"/>
        <w:szCs w:val="32"/>
        <w:u w:val="none"/>
        <w:vertAlign w:val="baseline"/>
      </w:rPr>
    </w:lvl>
    <w:lvl w:ilvl="2" w:tentative="0">
      <w:start w:val="1"/>
      <w:numFmt w:val="decimal"/>
      <w:suff w:val="nothing"/>
      <w:lvlText w:val="%1.%2.%3　"/>
      <w:lvlJc w:val="left"/>
      <w:pPr>
        <w:ind w:left="1155" w:firstLine="0"/>
      </w:pPr>
      <w:rPr>
        <w:rFonts w:hint="eastAsia" w:ascii="仿宋_GB2312" w:hAnsi="Times New Roman" w:eastAsia="仿宋_GB2312"/>
        <w:b w:val="0"/>
        <w:i w:val="0"/>
        <w:sz w:val="32"/>
        <w:szCs w:val="32"/>
      </w:rPr>
    </w:lvl>
    <w:lvl w:ilvl="3" w:tentative="0">
      <w:start w:val="1"/>
      <w:numFmt w:val="decimal"/>
      <w:suff w:val="nothing"/>
      <w:lvlText w:val="%1.%2.%3.%4　"/>
      <w:lvlJc w:val="left"/>
      <w:pPr>
        <w:ind w:left="0" w:firstLine="0"/>
      </w:pPr>
      <w:rPr>
        <w:rFonts w:hint="eastAsia" w:ascii="仿宋_GB2312" w:hAnsi="Times New Roman" w:eastAsia="仿宋_GB2312"/>
        <w:b w:val="0"/>
        <w:i w:val="0"/>
        <w:sz w:val="32"/>
        <w:szCs w:val="32"/>
      </w:rPr>
    </w:lvl>
    <w:lvl w:ilvl="4" w:tentative="0">
      <w:start w:val="1"/>
      <w:numFmt w:val="decimal"/>
      <w:suff w:val="nothing"/>
      <w:lvlText w:val="%1.%2.%3.%4.%5　"/>
      <w:lvlJc w:val="left"/>
      <w:pPr>
        <w:ind w:left="0" w:firstLine="0"/>
      </w:pPr>
      <w:rPr>
        <w:rFonts w:hint="eastAsia" w:ascii="仿宋_GB2312" w:hAnsi="Times New Roman" w:eastAsia="仿宋_GB2312"/>
        <w:b w:val="0"/>
        <w:i w:val="0"/>
        <w:sz w:val="32"/>
        <w:szCs w:val="32"/>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80F68"/>
    <w:rsid w:val="049C16D0"/>
    <w:rsid w:val="08D5567E"/>
    <w:rsid w:val="11D76D3B"/>
    <w:rsid w:val="16090EC2"/>
    <w:rsid w:val="1785689C"/>
    <w:rsid w:val="1BAF0CD9"/>
    <w:rsid w:val="1E9B5D90"/>
    <w:rsid w:val="232D7313"/>
    <w:rsid w:val="254272C8"/>
    <w:rsid w:val="278743AE"/>
    <w:rsid w:val="2C5A5D16"/>
    <w:rsid w:val="2DEE71F5"/>
    <w:rsid w:val="335A7779"/>
    <w:rsid w:val="35570DFD"/>
    <w:rsid w:val="38AE3672"/>
    <w:rsid w:val="3B497682"/>
    <w:rsid w:val="422C1AEA"/>
    <w:rsid w:val="46BC4555"/>
    <w:rsid w:val="492F773A"/>
    <w:rsid w:val="4932509E"/>
    <w:rsid w:val="59C64C70"/>
    <w:rsid w:val="5AFC26EF"/>
    <w:rsid w:val="5DFC2924"/>
    <w:rsid w:val="5FA928F2"/>
    <w:rsid w:val="672533EF"/>
    <w:rsid w:val="6FD11419"/>
    <w:rsid w:val="746E6A3B"/>
    <w:rsid w:val="75680F68"/>
    <w:rsid w:val="76486226"/>
    <w:rsid w:val="7D7F2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Normal Indent"/>
    <w:basedOn w:val="1"/>
    <w:qFormat/>
    <w:uiPriority w:val="0"/>
    <w:pPr>
      <w:ind w:firstLine="420"/>
    </w:pPr>
    <w:rPr>
      <w:szCs w:val="21"/>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First Indent"/>
    <w:qFormat/>
    <w:uiPriority w:val="0"/>
    <w:pPr>
      <w:widowControl/>
      <w:spacing w:before="120" w:after="120" w:line="0" w:lineRule="atLeast"/>
      <w:ind w:firstLine="420"/>
      <w:jc w:val="both"/>
    </w:pPr>
    <w:rPr>
      <w:rFonts w:ascii="Times New Roman" w:hAnsi="Times New Roman" w:eastAsia="宋体" w:cs="Times New Roman"/>
      <w:kern w:val="2"/>
      <w:sz w:val="21"/>
      <w:lang w:val="en-US" w:eastAsia="zh-CN" w:bidi="ar-SA"/>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宋体" w:hAnsi="宋体" w:eastAsia="宋体" w:cs="宋体"/>
      <w:sz w:val="24"/>
      <w:szCs w:val="24"/>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一级条标题"/>
    <w:next w:val="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3083</Words>
  <Characters>3115</Characters>
  <Lines>0</Lines>
  <Paragraphs>0</Paragraphs>
  <TotalTime>0</TotalTime>
  <ScaleCrop>false</ScaleCrop>
  <LinksUpToDate>false</LinksUpToDate>
  <CharactersWithSpaces>3191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2025-05-08T06:22:00Z</dcterms:created>
  <dc:creator>Dreamer</dc:creator>
  <cp:lastModifiedBy>小杨</cp:lastModifiedBy>
  <dcterms:modified xsi:type="dcterms:W3CDTF">2025-08-28T09:31:48Z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5F68CF03E6FD45A79B0BBF2775419A86_13</vt:lpwstr>
  </property>
  <property fmtid="{D5CDD505-2E9C-101B-9397-08002B2CF9AE}" pid="4" name="KSOTemplateDocerSaveRecord">
    <vt:lpwstr>eyJoZGlkIjoiNjQ0YjczOTYxMWZjMTc3ZTRjYTljNmFlZWE2ODQzY2YiLCJ1c2VySWQiOiIxMDQ3MTkyNDM1In0=</vt:lpwstr>
  </property>
</Properties>
</file>