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版本号：JXZB2025-N107320250830001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王莽街道韦兆西村太阳能路灯安装项目及村内路硬化项目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JXZB2025-N1073</w:t>
      </w:r>
      <w:r>
        <w:br/>
      </w:r>
      <w:r>
        <w:br/>
      </w:r>
      <w:r>
        <w:br/>
      </w:r>
    </w:p>
    <w:p>
      <w:pPr>
        <w:pStyle w:val="null3"/>
        <w:jc w:val="center"/>
        <w:outlineLvl w:val="2"/>
      </w:pPr>
      <w:r>
        <w:rPr>
          <w:rFonts w:ascii="仿宋_GB2312" w:hAnsi="仿宋_GB2312" w:cs="仿宋_GB2312" w:eastAsia="仿宋_GB2312"/>
          <w:sz w:val="28"/>
          <w:b/>
        </w:rPr>
        <w:t>西安市长安区王莽街道办事处</w:t>
      </w:r>
    </w:p>
    <w:p>
      <w:pPr>
        <w:pStyle w:val="null3"/>
        <w:jc w:val="center"/>
        <w:outlineLvl w:val="2"/>
      </w:pPr>
      <w:r>
        <w:rPr>
          <w:rFonts w:ascii="仿宋_GB2312" w:hAnsi="仿宋_GB2312" w:cs="仿宋_GB2312" w:eastAsia="仿宋_GB2312"/>
          <w:sz w:val="28"/>
          <w:b/>
        </w:rPr>
        <w:t>中天久信管理咨询集团有限公司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2025年08月30日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中天久信管理咨询集团有限公司</w:t>
      </w:r>
      <w:r>
        <w:rPr>
          <w:rFonts w:ascii="仿宋_GB2312" w:hAnsi="仿宋_GB2312" w:cs="仿宋_GB2312" w:eastAsia="仿宋_GB2312"/>
        </w:rPr>
        <w:t>（以下简称“代理机构”）受</w:t>
      </w:r>
      <w:r>
        <w:rPr>
          <w:rFonts w:ascii="仿宋_GB2312" w:hAnsi="仿宋_GB2312" w:cs="仿宋_GB2312" w:eastAsia="仿宋_GB2312"/>
        </w:rPr>
        <w:t>西安市长安区王莽街道办事处</w:t>
      </w:r>
      <w:r>
        <w:rPr>
          <w:rFonts w:ascii="仿宋_GB2312" w:hAnsi="仿宋_GB2312" w:cs="仿宋_GB2312" w:eastAsia="仿宋_GB2312"/>
        </w:rPr>
        <w:t>委托，拟对</w:t>
      </w:r>
      <w:r>
        <w:rPr>
          <w:rFonts w:ascii="仿宋_GB2312" w:hAnsi="仿宋_GB2312" w:cs="仿宋_GB2312" w:eastAsia="仿宋_GB2312"/>
        </w:rPr>
        <w:t>王莽街道韦兆西村太阳能路灯安装项目及村内路硬化项目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JXZB2025-N1073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王莽街道韦兆西村太阳能路灯安装项目及村内路硬化项目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王莽街道韦兆西村太阳能路灯安装项目及村内路硬化项目，具体详见图纸及工程量清单。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采购包1（王莽街道韦兆西村太阳能路灯安装项目）：属于专门面向中小企业采购。</w:t>
      </w:r>
    </w:p>
    <w:p>
      <w:pPr>
        <w:pStyle w:val="null3"/>
      </w:pPr>
      <w:r>
        <w:rPr>
          <w:rFonts w:ascii="仿宋_GB2312" w:hAnsi="仿宋_GB2312" w:cs="仿宋_GB2312" w:eastAsia="仿宋_GB2312"/>
        </w:rPr>
        <w:t>采购包2（王莽街道韦兆西村村内路硬化项目）：属于专门面向中小企业采购。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1、具有独立承担民事责任的能力：具有独立承担民事责任能力的法人、其他组织或自然人，提供合法有效的统一社会信用代码营业执照（事业单位提供事业单位法人证书，自然人提供身份证明）。</w:t>
      </w:r>
    </w:p>
    <w:p>
      <w:pPr>
        <w:pStyle w:val="null3"/>
      </w:pPr>
      <w:r>
        <w:rPr>
          <w:rFonts w:ascii="仿宋_GB2312" w:hAnsi="仿宋_GB2312" w:cs="仿宋_GB2312" w:eastAsia="仿宋_GB2312"/>
        </w:rPr>
        <w:t>2、具有良好的商业信誉和健全的财务会计制度：提供经审计的2023年或2024年财务审计报告（成立时间至提交投标文件截止时间不足一年的可提供成立后任意时段的资产负债表），或提交投标截止时间前6个月内开户银行出具的资信证明，或信用担保机构出具的投标担保函，（以上三种形式的资料提供任何一种即可）。</w:t>
      </w:r>
    </w:p>
    <w:p>
      <w:pPr>
        <w:pStyle w:val="null3"/>
      </w:pPr>
      <w:r>
        <w:rPr>
          <w:rFonts w:ascii="仿宋_GB2312" w:hAnsi="仿宋_GB2312" w:cs="仿宋_GB2312" w:eastAsia="仿宋_GB2312"/>
        </w:rPr>
        <w:t>3、有依法缴纳税收的良好记录：提供投标截止时间前12个月内至少一个月纳税证明或完税证明，纳税证明或完税证明上应有代收机构或税务机关的公章或业务专用章；其他组织和自然人提供投标截止时间前12个月内至少一个月缴纳税收的凭据；依法免税的投标人应提供相关文件证明。</w:t>
      </w:r>
    </w:p>
    <w:p>
      <w:pPr>
        <w:pStyle w:val="null3"/>
      </w:pPr>
      <w:r>
        <w:rPr>
          <w:rFonts w:ascii="仿宋_GB2312" w:hAnsi="仿宋_GB2312" w:cs="仿宋_GB2312" w:eastAsia="仿宋_GB2312"/>
        </w:rPr>
        <w:t>4、有依法缴纳社会保障资金的良好记录：提供投标截止时间前12个月内至少一个月已缴纳的社会保障资金的证明（社会保障资金缴存单据或社保机构开具的社会保险参保缴费情况证明等）；依法不需要缴纳社会保障资金的投标人应提供相关文件证明。</w:t>
      </w:r>
    </w:p>
    <w:p>
      <w:pPr>
        <w:pStyle w:val="null3"/>
      </w:pPr>
      <w:r>
        <w:rPr>
          <w:rFonts w:ascii="仿宋_GB2312" w:hAnsi="仿宋_GB2312" w:cs="仿宋_GB2312" w:eastAsia="仿宋_GB2312"/>
        </w:rPr>
        <w:t>5、书面声明：①具有履行合同所必需的设备和专业技术能力：提供具有履行本合同所必需的设备和专业技术能力的书面声明；②参加政府采购活动前三年内，在经营活动中没有重大违法记录：无重大违法记录书面声明； ③供应商未为本项目提供整体设计、规范编制或者项目管理、监理、检测等服务的书面声明。</w:t>
      </w:r>
    </w:p>
    <w:p>
      <w:pPr>
        <w:pStyle w:val="null3"/>
      </w:pPr>
      <w:r>
        <w:rPr>
          <w:rFonts w:ascii="仿宋_GB2312" w:hAnsi="仿宋_GB2312" w:cs="仿宋_GB2312" w:eastAsia="仿宋_GB2312"/>
        </w:rPr>
        <w:t>6、控股管理关系：单位负责人为同一人或存在直接控股、管理关系的不同单位，不得参加同一合同项下的政府采购活动。</w:t>
      </w:r>
    </w:p>
    <w:p>
      <w:pPr>
        <w:pStyle w:val="null3"/>
      </w:pPr>
      <w:r>
        <w:rPr>
          <w:rFonts w:ascii="仿宋_GB2312" w:hAnsi="仿宋_GB2312" w:cs="仿宋_GB2312" w:eastAsia="仿宋_GB2312"/>
        </w:rPr>
        <w:t>7、信用记录：供应商不得为“信用中国”网站（www.creditchina.gov.cn）中列入严重失信主体名单，不得为“中国执行信息公开网”（http://zxgk.court.gov.cn/）中列入失信被执行人，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8、法定代表人授权书及被授权人身份证：提供合格的法定代表人授权书（附法定代表人、被授权人身份证复印件）或法定代表人身份证明（法定代表人直接参加投标的）。</w:t>
      </w:r>
    </w:p>
    <w:p>
      <w:pPr>
        <w:pStyle w:val="null3"/>
      </w:pPr>
      <w:r>
        <w:rPr>
          <w:rFonts w:ascii="仿宋_GB2312" w:hAnsi="仿宋_GB2312" w:cs="仿宋_GB2312" w:eastAsia="仿宋_GB2312"/>
        </w:rPr>
        <w:t>9、企业资质：供应商须具备建设行政主管部门颁发的市政工程施工总承包三级及以上资质，并具有有效的安全生产许可证。</w:t>
      </w:r>
    </w:p>
    <w:p>
      <w:pPr>
        <w:pStyle w:val="null3"/>
      </w:pPr>
      <w:r>
        <w:rPr>
          <w:rFonts w:ascii="仿宋_GB2312" w:hAnsi="仿宋_GB2312" w:cs="仿宋_GB2312" w:eastAsia="仿宋_GB2312"/>
        </w:rPr>
        <w:t>10、项目经理：拟派项目经理须具有市政工程专业二级及以上注册建造师执业资格和有效的安全生产考核合格证书，在本单位注册且无在建项目。</w:t>
      </w:r>
    </w:p>
    <w:p>
      <w:pPr>
        <w:pStyle w:val="null3"/>
      </w:pPr>
      <w:r>
        <w:rPr>
          <w:rFonts w:ascii="仿宋_GB2312" w:hAnsi="仿宋_GB2312" w:cs="仿宋_GB2312" w:eastAsia="仿宋_GB2312"/>
        </w:rPr>
        <w:t>11、专门面向中小企业：供应商应为中小微企业或监狱企业或残疾人福利性单位（供应商须提供相关声明函）。</w:t>
      </w:r>
    </w:p>
    <w:p>
      <w:pPr>
        <w:pStyle w:val="null3"/>
      </w:pPr>
      <w:r>
        <w:rPr>
          <w:rFonts w:ascii="仿宋_GB2312" w:hAnsi="仿宋_GB2312" w:cs="仿宋_GB2312" w:eastAsia="仿宋_GB2312"/>
        </w:rPr>
        <w:t>12、非联合体声明：本次项目不接受联合体。</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1、具有独立承担民事责任的能力：具有独立承担民事责任能力的法人、其他组织或自然人，提供合法有效的统一社会信用代码营业执照（事业单位提供事业单位法人证书，自然人提供身份证明）。</w:t>
      </w:r>
    </w:p>
    <w:p>
      <w:pPr>
        <w:pStyle w:val="null3"/>
      </w:pPr>
      <w:r>
        <w:rPr>
          <w:rFonts w:ascii="仿宋_GB2312" w:hAnsi="仿宋_GB2312" w:cs="仿宋_GB2312" w:eastAsia="仿宋_GB2312"/>
        </w:rPr>
        <w:t>2、具有良好的商业信誉和健全的财务会计制度：提供经审计的2023年或2024年财务审计报告（成立时间至提交投标文件截止时间不足一年的可提供成立后任意时段的资产负债表），或提交投标截止时间前6个月内开户银行出具的资信证明，或信用担保机构出具的投标担保函，（以上三种形式的资料提供任何一种即可）。</w:t>
      </w:r>
    </w:p>
    <w:p>
      <w:pPr>
        <w:pStyle w:val="null3"/>
      </w:pPr>
      <w:r>
        <w:rPr>
          <w:rFonts w:ascii="仿宋_GB2312" w:hAnsi="仿宋_GB2312" w:cs="仿宋_GB2312" w:eastAsia="仿宋_GB2312"/>
        </w:rPr>
        <w:t>3、有依法缴纳税收的良好记录：提供投标截止时间前12个月内至少一个月纳税证明或完税证明，纳税证明或完税证明上应有代收机构或税务机关的公章或业务专用章；其他组织和自然人提供投标截止时间前12个月内至少一个月缴纳税收的凭据；依法免税的投标人应提供相关文件证明。</w:t>
      </w:r>
    </w:p>
    <w:p>
      <w:pPr>
        <w:pStyle w:val="null3"/>
      </w:pPr>
      <w:r>
        <w:rPr>
          <w:rFonts w:ascii="仿宋_GB2312" w:hAnsi="仿宋_GB2312" w:cs="仿宋_GB2312" w:eastAsia="仿宋_GB2312"/>
        </w:rPr>
        <w:t>4、有依法缴纳社会保障资金的良好记录：提供投标截止时间前12个月内至少一个月已缴纳的社会保障资金的证明（社会保障资金缴存单据或社保机构开具的社会保险参保缴费情况证明等）；依法不需要缴纳社会保障资金的投标人应提供相关文件证明。</w:t>
      </w:r>
    </w:p>
    <w:p>
      <w:pPr>
        <w:pStyle w:val="null3"/>
      </w:pPr>
      <w:r>
        <w:rPr>
          <w:rFonts w:ascii="仿宋_GB2312" w:hAnsi="仿宋_GB2312" w:cs="仿宋_GB2312" w:eastAsia="仿宋_GB2312"/>
        </w:rPr>
        <w:t>5、书面声明：①具有履行合同所必需的设备和专业技术能力：提供具有履行本合同所必需的设备和专业技术能力的书面声明；②参加政府采购活动前三年内，在经营活动中没有重大违法记录：无重大违法记录书面声明； ③供应商未为本项目提供整体设计、规范编制或者项目管理、监理、检测等服务的书面声明。</w:t>
      </w:r>
    </w:p>
    <w:p>
      <w:pPr>
        <w:pStyle w:val="null3"/>
      </w:pPr>
      <w:r>
        <w:rPr>
          <w:rFonts w:ascii="仿宋_GB2312" w:hAnsi="仿宋_GB2312" w:cs="仿宋_GB2312" w:eastAsia="仿宋_GB2312"/>
        </w:rPr>
        <w:t>6、控股管理关系：单位负责人为同一人或存在直接控股、管理关系的不同单位，不得参加同一合同项下的政府采购活动。</w:t>
      </w:r>
    </w:p>
    <w:p>
      <w:pPr>
        <w:pStyle w:val="null3"/>
      </w:pPr>
      <w:r>
        <w:rPr>
          <w:rFonts w:ascii="仿宋_GB2312" w:hAnsi="仿宋_GB2312" w:cs="仿宋_GB2312" w:eastAsia="仿宋_GB2312"/>
        </w:rPr>
        <w:t>7、信用记录：供应商不得为“信用中国”网站（www.creditchina.gov.cn）中列入严重失信主体名单，不得为“中国执行信息公开网”（http://zxgk.court.gov.cn/）中列入失信被执行人，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8、法定代表人授权书及被授权人身份证：提供合格的法定代表人授权书（附法定代表人、被授权人身份证复印件）或法定代表人身份证明（法定代表人直接参加投标的）。</w:t>
      </w:r>
    </w:p>
    <w:p>
      <w:pPr>
        <w:pStyle w:val="null3"/>
      </w:pPr>
      <w:r>
        <w:rPr>
          <w:rFonts w:ascii="仿宋_GB2312" w:hAnsi="仿宋_GB2312" w:cs="仿宋_GB2312" w:eastAsia="仿宋_GB2312"/>
        </w:rPr>
        <w:t>9、企业资质：供应商须具备建设行政主管部门颁发的市政工程施工总承包三级及以上资质，并具有有效的安全生产许可证。</w:t>
      </w:r>
    </w:p>
    <w:p>
      <w:pPr>
        <w:pStyle w:val="null3"/>
      </w:pPr>
      <w:r>
        <w:rPr>
          <w:rFonts w:ascii="仿宋_GB2312" w:hAnsi="仿宋_GB2312" w:cs="仿宋_GB2312" w:eastAsia="仿宋_GB2312"/>
        </w:rPr>
        <w:t>10、项目经理：拟派项目经理须具有市政工程专业二级及以上注册建造师执业资格和有效的安全生产考核合格证书，在本单位注册且无在建项目。</w:t>
      </w:r>
    </w:p>
    <w:p>
      <w:pPr>
        <w:pStyle w:val="null3"/>
      </w:pPr>
      <w:r>
        <w:rPr>
          <w:rFonts w:ascii="仿宋_GB2312" w:hAnsi="仿宋_GB2312" w:cs="仿宋_GB2312" w:eastAsia="仿宋_GB2312"/>
        </w:rPr>
        <w:t>11、专门面向中小企业：供应商应为中小微企业或监狱企业或残疾人福利性单位（供应商须提供相关声明函）。</w:t>
      </w:r>
    </w:p>
    <w:p>
      <w:pPr>
        <w:pStyle w:val="null3"/>
      </w:pPr>
      <w:r>
        <w:rPr>
          <w:rFonts w:ascii="仿宋_GB2312" w:hAnsi="仿宋_GB2312" w:cs="仿宋_GB2312" w:eastAsia="仿宋_GB2312"/>
        </w:rPr>
        <w:t>12、非联合体声明：本次项目不接受联合体。</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西安市长安区王莽街道办事处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王莽街道西王莽村甲子1号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029-85936118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中天久信管理咨询集团有限公司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陕西省西安市高新区丈八街办唐延路11号禾盛京广中心E座23层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屈琳妮、贾晓燕</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029-89525802转8001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左崇伟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采购包1：872,377.94元</w:t>
            </w:r>
          </w:p>
          <w:p>
            <w:pPr>
              <w:pStyle w:val="null3"/>
            </w:pPr>
            <w:r>
              <w:rPr>
                <w:rFonts w:ascii="仿宋_GB2312" w:hAnsi="仿宋_GB2312" w:cs="仿宋_GB2312" w:eastAsia="仿宋_GB2312"/>
              </w:rPr>
              <w:t>采购包2：298,306.79元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国家发展改革委关于降低部分建设项目收费标准规范收费行为等有关问题的通知》（发改价格[2011]534号）的有关规定计取（不足5000元的按5000元/标段计取），在成交通知书发出前由成交供应商支付）。代理费缴存账户： 开户银行：建行西安丰禾路支行 账号：61001744100052500118 收款人名称：中天久信管理咨询集团有限公司 （备注：项目名称+包代理服务费）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西安市长安区王莽街道办事处</w:t>
      </w:r>
      <w:r>
        <w:rPr>
          <w:rFonts w:ascii="仿宋_GB2312" w:hAnsi="仿宋_GB2312" w:cs="仿宋_GB2312" w:eastAsia="仿宋_GB2312"/>
        </w:rPr>
        <w:t>和</w:t>
      </w:r>
      <w:r>
        <w:rPr>
          <w:rFonts w:ascii="仿宋_GB2312" w:hAnsi="仿宋_GB2312" w:cs="仿宋_GB2312" w:eastAsia="仿宋_GB2312"/>
        </w:rPr>
        <w:t>中天久信管理咨询集团有限公司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西安市长安区王莽街道办事处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中天久信管理咨询集团有限公司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西安市长安区王莽街道办事处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中天久信管理咨询集团有限公司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采购包2：项目单价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中天久信管理咨询集团有限公司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中天久信管理咨询集团有限公司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中天久信管理咨询集团有限公司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联系人：屈琳妮、贾晓燕</w:t>
      </w:r>
    </w:p>
    <w:p>
      <w:pPr>
        <w:pStyle w:val="null3"/>
      </w:pPr>
      <w:r>
        <w:rPr>
          <w:rFonts w:ascii="仿宋_GB2312" w:hAnsi="仿宋_GB2312" w:cs="仿宋_GB2312" w:eastAsia="仿宋_GB2312"/>
        </w:rPr>
        <w:t>联系电话：029-89525802（转8001）</w:t>
      </w:r>
    </w:p>
    <w:p>
      <w:pPr>
        <w:pStyle w:val="null3"/>
      </w:pPr>
      <w:r>
        <w:rPr>
          <w:rFonts w:ascii="仿宋_GB2312" w:hAnsi="仿宋_GB2312" w:cs="仿宋_GB2312" w:eastAsia="仿宋_GB2312"/>
        </w:rPr>
        <w:t>地址：陕西省西安市高新区唐延路11号禾盛京广中心E座23层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872,377.94</w:t>
      </w:r>
    </w:p>
    <w:p>
      <w:pPr>
        <w:pStyle w:val="null3"/>
      </w:pPr>
      <w:r>
        <w:rPr>
          <w:rFonts w:ascii="仿宋_GB2312" w:hAnsi="仿宋_GB2312" w:cs="仿宋_GB2312" w:eastAsia="仿宋_GB2312"/>
        </w:rPr>
        <w:t>采购包最高限价（元）: 872,377.94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新增安装太阳能200套，现状路灯修复路灯70套</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872,377.94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298,306.79</w:t>
      </w:r>
    </w:p>
    <w:p>
      <w:pPr>
        <w:pStyle w:val="null3"/>
      </w:pPr>
      <w:r>
        <w:rPr>
          <w:rFonts w:ascii="仿宋_GB2312" w:hAnsi="仿宋_GB2312" w:cs="仿宋_GB2312" w:eastAsia="仿宋_GB2312"/>
        </w:rPr>
        <w:t>采购包最高限价（元）: 298,306.79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道路硬化339.787米，道路硬化面积1430㎡</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298,306.79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标的名称：新增安装太阳能200套，现状路灯修复路灯70套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详见工程量清单</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标的名称：道路硬化339.787米，道路硬化面积1430㎡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1、工期：3个月（或90日历天）。 2、工程质量标准：质量标准达到国家现行施工验收规范“合格”标准。 3、工程地点：工程所在地。 4、合同支付约定：工程开工付合同价款的30%，工程完成一半付合同价款的40%，工程完工合同价款的20%，工程竣工验收合格审计完成后付合同价款的10%；发包人正式付款前，承包人需提供符合要求的正式增值税专用发票。5、验收交付标准和方法：必须达到国家及行业现行技术规范标准，符合国家及行业验收合格标准。 6、质量保修期：质量保修期限执行《建筑工程质量管理条例》，法律未规定由甲乙双方自行协商。建设工程在保修范围和保修期限内发生质量问题的，施工单位应当履行保修义务，并对造成的损失承担赔偿责任。 7、缺陷责任期：自实际竣工日期起12个月。 8、成本补偿和风险分担约定：依据《中华人民共和国民法典》、《中华人民共和国政府采购法》的相关条款和本合同约定的相关条款执行。 9、合同实施：若因成交供应商原因未能在工期内（不可抗力因素除外）完成合同规定的义务，由此对采购人造成的延误和一切损失，由成交供应商承担和赔偿。 10、违约责任与解决争议的方法：成交供应商未按合同要求履行，不符合招标技术要求，成交供应商必须无条件提高技术，完善质量，否则，采购人有权终止合同，并对成交供应商的违约行为进行追究并依法向成交供应商进行经济索赔。确需变更、调整或者中止、终止合同的，由双方协商解决。11、成交供应商在领取成交通知书时向代理机构提供纸质版响应文件正本1份，副本1份，电子文件1份（光盘或U盘）。装订：纸质竞争性磋商响应文件采用书籍（胶装）方式装订成册，与电子竞争性磋商响应文件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经审计的2023年或2024年财务审计报告（成立时间至提交投标文件截止时间不足一年的可提供成立后任意时段的资产负债表），或提交投标截止时间前6个月内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投标截止时间前12个月内至少一个月纳税证明或完税证明，纳税证明或完税证明上应有代收机构或税务机关的公章或业务专用章；其他组织和自然人提供投标截止时间前12个月内至少一个月缴纳税收的凭据；依法免税的投标人应提供相关文件证明。</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提供投标截止时间前12个月内至少一个月已缴纳的社会保障资金的证明（社会保障资金缴存单据或社保机构开具的社会保险参保缴费情况证明等）；依法不需要缴纳社会保障资金的投标人应提供相关文件证明。</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①具有履行合同所必需的设备和专业技术能力：提供具有履行本合同所必需的设备和专业技术能力的书面声明；②参加政府采购活动前三年内，在经营活动中没有重大违法记录：无重大违法记录书面声明； ③供应商未为本项目提供整体设计、规范编制或者项目管理、监理、检测等服务的书面声明。</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严重失信主体名单，不得为“中国执行信息公开网”（http://zxgk.court.gov.cn/）中列入失信被执行人，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提供合格的法定代表人授权书（附法定代表人、被授权人身份证复印件）或法定代表人身份证明（法定代表人直接参加投标的）。</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供应商须具备建设行政主管部门颁发的市政工程施工总承包三级及以上资质，并具有有效的安全生产许可证。</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拟派项目经理须具有市政工程专业二级及以上注册建造师执业资格和有效的安全生产考核合格证书，在本单位注册且无在建项目。</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专门面向中小企业</w:t>
            </w:r>
          </w:p>
        </w:tc>
        <w:tc>
          <w:tcPr>
            <w:tcW w:type="dxa" w:w="3322"/>
          </w:tcPr>
          <w:p>
            <w:pPr>
              <w:pStyle w:val="null3"/>
            </w:pPr>
            <w:r>
              <w:rPr>
                <w:rFonts w:ascii="仿宋_GB2312" w:hAnsi="仿宋_GB2312" w:cs="仿宋_GB2312" w:eastAsia="仿宋_GB2312"/>
              </w:rPr>
              <w:t>供应商应为中小微企业或监狱企业或残疾人福利性单位（供应商须提供相关声明函）。</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本次项目不接受联合体。</w:t>
            </w:r>
          </w:p>
        </w:tc>
        <w:tc>
          <w:tcPr>
            <w:tcW w:type="dxa" w:w="1661"/>
          </w:tcPr>
          <w:p>
            <w:pPr>
              <w:pStyle w:val="null3"/>
            </w:pPr>
            <w:r>
              <w:rPr>
                <w:rFonts w:ascii="仿宋_GB2312" w:hAnsi="仿宋_GB2312" w:cs="仿宋_GB2312" w:eastAsia="仿宋_GB2312"/>
              </w:rPr>
              <w:t>供应商应提交的相关资格证明材料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经审计的2023年或2024年财务审计报告（成立时间至提交投标文件截止时间不足一年的可提供成立后任意时段的资产负债表），或提交投标截止时间前6个月内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投标截止时间前12个月内至少一个月纳税证明或完税证明，纳税证明或完税证明上应有代收机构或税务机关的公章或业务专用章；其他组织和自然人提供投标截止时间前12个月内至少一个月缴纳税收的凭据；依法免税的投标人应提供相关文件证明。</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提供投标截止时间前12个月内至少一个月已缴纳的社会保障资金的证明（社会保障资金缴存单据或社保机构开具的社会保险参保缴费情况证明等）；依法不需要缴纳社会保障资金的投标人应提供相关文件证明。</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①具有履行合同所必需的设备和专业技术能力：提供具有履行本合同所必需的设备和专业技术能力的书面声明；②参加政府采购活动前三年内，在经营活动中没有重大违法记录：无重大违法记录书面声明； ③供应商未为本项目提供整体设计、规范编制或者项目管理、监理、检测等服务的书面声明。</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严重失信主体名单，不得为“中国执行信息公开网”（http://zxgk.court.gov.cn/）中列入失信被执行人，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提供合格的法定代表人授权书（附法定代表人、被授权人身份证复印件）或法定代表人身份证明（法定代表人直接参加投标的）。</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供应商须具备建设行政主管部门颁发的市政工程施工总承包三级及以上资质，并具有有效的安全生产许可证。</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拟派项目经理须具有市政工程专业二级及以上注册建造师执业资格和有效的安全生产考核合格证书，在本单位注册且无在建项目。</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专门面向中小企业</w:t>
            </w:r>
          </w:p>
        </w:tc>
        <w:tc>
          <w:tcPr>
            <w:tcW w:type="dxa" w:w="3322"/>
          </w:tcPr>
          <w:p>
            <w:pPr>
              <w:pStyle w:val="null3"/>
            </w:pPr>
            <w:r>
              <w:rPr>
                <w:rFonts w:ascii="仿宋_GB2312" w:hAnsi="仿宋_GB2312" w:cs="仿宋_GB2312" w:eastAsia="仿宋_GB2312"/>
              </w:rPr>
              <w:t>供应商应为中小微企业或监狱企业或残疾人福利性单位（供应商须提供相关声明函）。</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本次项目不接受联合体。</w:t>
            </w:r>
          </w:p>
        </w:tc>
        <w:tc>
          <w:tcPr>
            <w:tcW w:type="dxa" w:w="1661"/>
          </w:tcPr>
          <w:p>
            <w:pPr>
              <w:pStyle w:val="null3"/>
            </w:pPr>
            <w:r>
              <w:rPr>
                <w:rFonts w:ascii="仿宋_GB2312" w:hAnsi="仿宋_GB2312" w:cs="仿宋_GB2312" w:eastAsia="仿宋_GB2312"/>
              </w:rPr>
              <w:t>供应商应提交的相关资格证明材料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报价唯一，且响应文件报价未超过最高限价（采购预算）</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供应商应提交的相关资格证明材料 资格证明文件.docx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工期符合磋商文件要求</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供应商应提交的相关资格证明材料 资格证明文件.docx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质量</w:t>
            </w:r>
          </w:p>
        </w:tc>
        <w:tc>
          <w:tcPr>
            <w:tcW w:type="dxa" w:w="3322"/>
          </w:tcPr>
          <w:p>
            <w:pPr>
              <w:pStyle w:val="null3"/>
            </w:pPr>
            <w:r>
              <w:rPr>
                <w:rFonts w:ascii="仿宋_GB2312" w:hAnsi="仿宋_GB2312" w:cs="仿宋_GB2312" w:eastAsia="仿宋_GB2312"/>
              </w:rPr>
              <w:t>工程质量标准符合磋商文件要求</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供应商应提交的相关资格证明材料 资格证明文件.docx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自首次递交响应文件之日起90日历日</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供应商应提交的相关资格证明材料 资格证明文件.docx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供应商应提交的相关资格证明材料 资格证明文件.docx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报价唯一，且响应文件报价未超过最高限价（采购预算）</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供应商应提交的相关资格证明材料 资格证明文件.docx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工期符合磋商文件要求</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供应商应提交的相关资格证明材料 资格证明文件.docx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质量</w:t>
            </w:r>
          </w:p>
        </w:tc>
        <w:tc>
          <w:tcPr>
            <w:tcW w:type="dxa" w:w="3322"/>
          </w:tcPr>
          <w:p>
            <w:pPr>
              <w:pStyle w:val="null3"/>
            </w:pPr>
            <w:r>
              <w:rPr>
                <w:rFonts w:ascii="仿宋_GB2312" w:hAnsi="仿宋_GB2312" w:cs="仿宋_GB2312" w:eastAsia="仿宋_GB2312"/>
              </w:rPr>
              <w:t>工程质量标准符合磋商文件要求</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供应商应提交的相关资格证明材料 资格证明文件.docx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自首次递交响应文件之日起90日历日</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供应商应提交的相关资格证明材料 资格证明文件.docx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供应商应提交的相关资格证明材料 资格证明文件.docx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pPr>
      <w:r>
        <w:rPr>
          <w:rFonts w:ascii="仿宋_GB2312" w:hAnsi="仿宋_GB2312" w:cs="仿宋_GB2312" w:eastAsia="仿宋_GB2312"/>
        </w:rPr>
        <w:t>采购包2：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2022年6月1日至今承担过类似项目业绩，每有一项业绩得2.5分，最多得5分，未按要求的不得分。 注：业绩证明材料为合同复印件或扫描件（包含合同主要内容及签字盖章等关键信息），时间以合同签订时间为准，未提供或提供不全的不得分。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提供针对本项目的施工方案。方案内容全面，合规性、可行性强，得8分； 方案满足要求，可行性和针对性较强，得6分； 方案基本满足要求，有一定的可行性和针对性，得4分； 方案内容简单笼统，具有较低的可行性、针对性，得2分； 方案内容欠缺，缺乏针对性，得1分；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提供针对本项目制定的措施方案，包括但不限于对施工进行全过程的质量检查，对施工材料、施工方法及实体质量的措施内容。措施详尽，合理可行，逻辑清楚，针对性及可行性强，得8分； 措施较完善，有一定的逻辑性、针对性、可行性，得6分； 措施内容基本合理，基本可行得4分； 措施内容简单笼统，方案针对性一般得2分； 措施内容缺失、方案针对性较差得1分；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提供针对本项目制定的措施方案，包括但不限于安全管理制度、安全教育培训等内容；措施详尽，合理可行，逻辑清楚，针对性及可行性强，得8分； 措施较完善，有一定的逻辑性、针对性、可行性，得6分； 措施内容基本合理，基本可行得4分； 措施内容简单笼统，方案针对性一般得2分； 措施内容缺失、方案针对性较差得1分；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提供针对本项目制定的措施方案，包括但不限于施工工地的现场场容场貌、机械管理的存放、生活卫生的处理、防治大气污染等内容。措施详尽，合理可行，逻辑清楚，针对性及可行性强，得8分； 措施较完善，有一定的逻辑性、针对性、可行性，得6分； 措施内容基本合理，基本可行得4分； 措施内容简单笼统，方案针对性一般得2分； 措施内容缺失、方案针对性较差得1分；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提供针对本项目制定的措施方案，包括但不限于施工准备保证、划分各节点工期,分析确定重点工程工期等内容，确保工期的技术组织措施。措施详尽，合理可行，逻辑清楚，针对性及可行性强，得5分； 措施较完善，有一定的逻辑性、针对性、可行性，得4分； 措施内容基本合理，基本可行得3分； 措施内容简单笼统，方案针对性一般得2分； 措施内容缺失、方案针对性较差得1分；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提供针对本项目制定的计划，包括但不限于主要设备配备和工程材料计划等内容。各种设备配置齐全，材料充足，得5分； 各种设备配置较齐全，材料较充足，得4分； 各种设备配置、材料基本满足采购需求，得3分； 各种设备配置、材料勉强满足项目需求得2分； 各种设备配置不齐全，材料不足，不能满足项目需求得1分；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内容详尽，合理可行，逻辑清楚，针对性及可行性强，得5分； 内容较完善，有一定的逻辑性、针对性、可行性，得4分； 内容基本合理，基本可行得3分； 内容简单笼统，针对性一般得2分； 内容缺失、针对性较差得1分；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劳动力安排计划详细，合理，完全满足项目需求得5分； 劳动力安排计划满足要求，较合理，得4分； 劳动力安排计划基本满足要求，基本合理，得3分； 劳动力安排计划笼统，合理性一般，得2分； 劳动力安排计划不合理，不能满足项目需求得1分；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人员配备情况</w:t>
            </w:r>
          </w:p>
        </w:tc>
        <w:tc>
          <w:tcPr>
            <w:tcW w:type="dxa" w:w="2492"/>
          </w:tcPr>
          <w:p>
            <w:pPr>
              <w:pStyle w:val="null3"/>
            </w:pPr>
            <w:r>
              <w:rPr>
                <w:rFonts w:ascii="仿宋_GB2312" w:hAnsi="仿宋_GB2312" w:cs="仿宋_GB2312" w:eastAsia="仿宋_GB2312"/>
              </w:rPr>
              <w:t>项目部人员配备合理、分工科学、专业知识构架全面、岗位职责明确，得5分； 项目部人员配备较合理、分工较科学、岗位职责明确，得4分； 项目部人员配备基本合理、分工基本科学、岗位职责明确，得3分； 项目部人员配备合理性一般、分工明确，得2分 项目部人员配备不合理，得1分；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根据供应商针对突发事件的可行性（包含恶劣天气影响、自然灾害及政府性重大活动，重大节假日等特殊情况制定应急保障措施）。措施详尽，合理可行，逻辑清楚，针对性及可行性强，得5分； 措施较完善，有一定的逻辑性、针对性、可行性，得4分； 措施内容基本合理，基本可行得3分； 措施内容简单笼统，方案针对性一般得2分； 措施内容缺失、方案针对性较差得1分；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采用新技术、新产品、新工艺、新材料对提高质量、缩短工期、降低造价有积极影响。内容科学合理可行性强得3分；内容针对性较强、科学合理可行性较强得2分；内容针对性一般、基本可行得1分。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价格分统一采用低价优先法计算，即满足磋商文件要求且最终报价最低的磋商评审价为磋商基准价，其价格分为满分。其他供应商的价格分统一按照下列公式计算： 有效报价得分=（磋商基准价/磋商评审价）×价格权值×100 注：磋商评审价=最终磋商报价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2022年6月1日至今承担过类似项目业绩，每有一项业绩得2.5分，最多得5分，未按要求的不得分。 注：业绩证明材料为合同复印件或扫描件（包含合同主要内容及签字盖章等关键信息），时间以合同签订时间为准，未提供或提供不全的不得分。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提供针对本项目的施工方案。方案内容全面，合规性、可行性强，得8分； 方案满足要求，可行性和针对性较强，得6分； 方案基本满足要求，有一定的可行性和针对性，得4分； 方案内容简单笼统，具有较低的可行性、针对性，得2分； 方案内容欠缺，缺乏针对性，得1分；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提供针对本项目制定的措施方案，包括但不限于对施工进行全过程的质量检查，对施工材料、施工方法及实体质量的措施内容。措施详尽，合理可行，逻辑清楚，针对性及可行性强，得8分； 措施较完善，有一定的逻辑性、针对性、可行性，得6分； 措施内容基本合理，基本可行得4分； 措施内容简单笼统，方案针对性一般得2分； 措施内容缺失、方案针对性较差得1分；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提供针对本项目制定的措施方案，包括但不限于安全管理制度、安全教育培训等内容；措施详尽，合理可行，逻辑清楚，针对性及可行性强，得8分； 措施较完善，有一定的逻辑性、针对性、可行性，得6分； 措施内容基本合理，基本可行得4分； 措施内容简单笼统，方案针对性一般得2分； 措施内容缺失、方案针对性较差得1分；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提供针对本项目制定的措施方案，包括但不限于施工工地的现场场容场貌、机械管理的存放、生活卫生的处理、防治大气污染等内容。措施详尽，合理可行，逻辑清楚，针对性及可行性强，得8分； 措施较完善，有一定的逻辑性、针对性、可行性，得6分； 措施内容基本合理，基本可行得4分； 措施内容简单笼统，方案针对性一般得2分； 措施内容缺失、方案针对性较差得1分；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提供针对本项目制定的措施方案，包括但不限于施工准备保证、划分各节点工期,分析确定重点工程工期等内容，确保工期的技术组织措施。措施详尽，合理可行，逻辑清楚，针对性及可行性强，得5分； 措施较完善，有一定的逻辑性、针对性、可行性，得4分； 措施内容基本合理，基本可行得3分； 措施内容简单笼统，方案针对性一般得2分； 措施内容缺失、方案针对性较差得1分；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提供针对本项目制定的计划，包括但不限于主要设备配备和工程材料计划等内容。各种设备配置齐全，材料充足，得5分； 各种设备配置较齐全，材料较充足，得4分； 各种设备配置、材料基本满足采购需求，得3分； 各种设备配置、材料勉强满足项目需求得2分； 各种设备配置不齐全，材料不足，不能满足项目需求得1分；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内容详尽，合理可行，逻辑清楚，针对性及可行性强，得5分； 内容较完善，有一定的逻辑性、针对性、可行性，得4分； 内容基本合理，基本可行得3分； 内容简单笼统，针对性一般得2分；内容缺失、针对性较差得1分；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劳动力安排计划详细，合理，完全满足项目需求得5分； 劳动力安排计划满足要求，较合理，得4分； 劳动力安排计划基本满足要求，基本合理，得3分； 劳动力安排计划笼统，合理性一般，得2分； 劳动力安排计划不合理，不能满足项目需求得1分；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人员配备情况</w:t>
            </w:r>
          </w:p>
        </w:tc>
        <w:tc>
          <w:tcPr>
            <w:tcW w:type="dxa" w:w="2492"/>
          </w:tcPr>
          <w:p>
            <w:pPr>
              <w:pStyle w:val="null3"/>
            </w:pPr>
            <w:r>
              <w:rPr>
                <w:rFonts w:ascii="仿宋_GB2312" w:hAnsi="仿宋_GB2312" w:cs="仿宋_GB2312" w:eastAsia="仿宋_GB2312"/>
              </w:rPr>
              <w:t>项目部人员配备合理、分工科学、专业知识构架全面、岗位职责明确，得5分； 项目部人员配备较合理、分工较科学、岗位职责明确，得4分； 项目部人员配备基本合理、分工基本科学、岗位职责明确，得3分； 项目部人员配备合理性一般、分工明确，得2分 项目部人员配备不合理，得1分；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根据供应商针对突发事件的可行性（包含恶劣天气影响、自然灾害及政府性重大活动，重大节假日等特殊情况制定应急保障措施）。措施详尽，合理可行，逻辑清楚，针对性及可行性强，得5分； 措施较完善，有一定的逻辑性、针对性、可行性，得4分； 措施内容基本合理，基本可行得3分； 措施内容简单笼统，方案针对性一般得2分； 措施内容缺失、方案针对性较差得1分；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采用新技术、新产品、新工艺、新材料对提高质量、缩短工期、降低造价有积极影响。内容科学合理可行性强得3分；内容针对性较强、科学合理可行性较强得2分；内容针对性一般、基本可行得1分。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价格分统一采用低价优先法计算，即满足磋商文件要求且最终报价最低的磋商评审价为磋商基准价，其价格分为满分。其他供应商的价格分统一按照下列公式计算： 有效报价得分=（磋商基准价/磋商评审价）×价格权值×100 注：磋商评审价=最终磋商报价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