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BCB51">
      <w:pPr>
        <w:bidi w:val="0"/>
        <w:jc w:val="center"/>
        <w:rPr>
          <w:rFonts w:hint="eastAsia" w:eastAsia="宋体"/>
          <w:b/>
          <w:bCs/>
          <w:sz w:val="52"/>
          <w:szCs w:val="52"/>
          <w:lang w:eastAsia="zh-CN"/>
        </w:rPr>
      </w:pPr>
      <w:r>
        <w:rPr>
          <w:rFonts w:hint="eastAsia"/>
          <w:b/>
          <w:bCs/>
          <w:sz w:val="52"/>
          <w:szCs w:val="52"/>
          <w:lang w:eastAsia="zh-CN"/>
        </w:rPr>
        <w:t>长安一中实验室提升改造项目</w:t>
      </w:r>
    </w:p>
    <w:p w14:paraId="55E9A2D8">
      <w:pPr>
        <w:bidi w:val="0"/>
        <w:jc w:val="center"/>
        <w:rPr>
          <w:rFonts w:hint="eastAsia" w:eastAsia="宋体"/>
          <w:b/>
          <w:bCs/>
          <w:sz w:val="52"/>
          <w:szCs w:val="52"/>
          <w:lang w:eastAsia="zh-CN"/>
        </w:rPr>
      </w:pPr>
      <w:r>
        <w:rPr>
          <w:rFonts w:hint="eastAsia"/>
          <w:b/>
          <w:bCs/>
          <w:sz w:val="52"/>
          <w:szCs w:val="52"/>
        </w:rPr>
        <w:t>采 购 合 同</w:t>
      </w:r>
      <w:r>
        <w:rPr>
          <w:rFonts w:hint="eastAsia"/>
          <w:b/>
          <w:bCs/>
          <w:color w:val="FF0000"/>
          <w:sz w:val="52"/>
          <w:szCs w:val="52"/>
          <w:lang w:eastAsia="zh-CN"/>
        </w:rPr>
        <w:t>（</w:t>
      </w:r>
      <w:r>
        <w:rPr>
          <w:rFonts w:hint="eastAsia"/>
          <w:b/>
          <w:bCs/>
          <w:color w:val="FF0000"/>
          <w:sz w:val="52"/>
          <w:szCs w:val="52"/>
          <w:lang w:val="en-US" w:eastAsia="zh-CN"/>
        </w:rPr>
        <w:t>参考</w:t>
      </w:r>
      <w:r>
        <w:rPr>
          <w:rFonts w:hint="eastAsia"/>
          <w:b/>
          <w:bCs/>
          <w:color w:val="FF0000"/>
          <w:sz w:val="52"/>
          <w:szCs w:val="52"/>
          <w:lang w:eastAsia="zh-CN"/>
        </w:rPr>
        <w:t>）</w:t>
      </w:r>
    </w:p>
    <w:p w14:paraId="12FC42FB">
      <w:pPr>
        <w:pStyle w:val="8"/>
        <w:ind w:firstLine="480"/>
        <w:rPr>
          <w:rFonts w:hint="eastAsia" w:ascii="宋体" w:hAnsi="宋体" w:eastAsia="宋体" w:cs="宋体"/>
          <w:sz w:val="24"/>
          <w:szCs w:val="32"/>
        </w:rPr>
      </w:pPr>
    </w:p>
    <w:p w14:paraId="55CFDE50">
      <w:pPr>
        <w:keepNext w:val="0"/>
        <w:keepLines w:val="0"/>
        <w:widowControl/>
        <w:suppressLineNumbers w:val="0"/>
        <w:ind w:firstLine="560" w:firstLineChars="200"/>
        <w:jc w:val="left"/>
      </w:pPr>
      <w:r>
        <w:rPr>
          <w:rFonts w:hint="eastAsia" w:ascii="宋体" w:hAnsi="宋体" w:eastAsia="宋体" w:cs="宋体"/>
          <w:sz w:val="28"/>
          <w:szCs w:val="28"/>
        </w:rPr>
        <w:t>甲方：</w:t>
      </w:r>
      <w:r>
        <w:rPr>
          <w:rFonts w:hint="eastAsia" w:ascii="宋体" w:hAnsi="宋体" w:eastAsia="宋体" w:cs="宋体"/>
          <w:kern w:val="2"/>
          <w:sz w:val="28"/>
          <w:szCs w:val="28"/>
          <w:lang w:val="en-US" w:eastAsia="zh-CN" w:bidi="ar-SA"/>
        </w:rPr>
        <w:t xml:space="preserve">西安市长安区第一中学 </w:t>
      </w:r>
    </w:p>
    <w:p w14:paraId="6B6293DD">
      <w:pPr>
        <w:pStyle w:val="8"/>
        <w:spacing w:line="360" w:lineRule="auto"/>
        <w:ind w:firstLine="480"/>
        <w:rPr>
          <w:rFonts w:hint="eastAsia" w:ascii="宋体" w:hAnsi="宋体" w:eastAsia="宋体" w:cs="宋体"/>
          <w:sz w:val="28"/>
          <w:szCs w:val="28"/>
        </w:rPr>
      </w:pPr>
      <w:r>
        <w:rPr>
          <w:rFonts w:hint="eastAsia" w:ascii="宋体" w:hAnsi="宋体" w:eastAsia="宋体" w:cs="宋体"/>
          <w:sz w:val="28"/>
          <w:szCs w:val="28"/>
        </w:rPr>
        <w:t xml:space="preserve">乙方： </w:t>
      </w:r>
    </w:p>
    <w:p w14:paraId="7FB441F2">
      <w:pPr>
        <w:pStyle w:val="8"/>
        <w:spacing w:line="360" w:lineRule="auto"/>
        <w:ind w:firstLine="480"/>
        <w:jc w:val="left"/>
        <w:rPr>
          <w:rFonts w:hint="eastAsia" w:ascii="宋体" w:hAnsi="宋体" w:eastAsia="宋体" w:cs="宋体"/>
          <w:sz w:val="28"/>
          <w:szCs w:val="28"/>
          <w:highlight w:val="none"/>
        </w:rPr>
      </w:pPr>
      <w:r>
        <w:rPr>
          <w:rFonts w:hint="eastAsia" w:ascii="宋体" w:hAnsi="宋体" w:eastAsia="宋体" w:cs="宋体"/>
          <w:sz w:val="28"/>
          <w:szCs w:val="28"/>
        </w:rPr>
        <w:t>在西安市长安区财政局的监督管理下，按照政府采购程序组织</w:t>
      </w:r>
      <w:r>
        <w:rPr>
          <w:rFonts w:hint="eastAsia" w:ascii="宋体" w:hAnsi="宋体" w:cs="宋体"/>
          <w:sz w:val="28"/>
          <w:szCs w:val="28"/>
          <w:lang w:val="en-US" w:eastAsia="zh-CN"/>
        </w:rPr>
        <w:t>招标</w:t>
      </w:r>
      <w:r>
        <w:rPr>
          <w:rFonts w:hint="eastAsia" w:ascii="宋体" w:hAnsi="宋体" w:eastAsia="宋体" w:cs="宋体"/>
          <w:sz w:val="28"/>
          <w:szCs w:val="28"/>
        </w:rPr>
        <w:t>，确定乙方为</w:t>
      </w:r>
      <w:r>
        <w:rPr>
          <w:rFonts w:hint="eastAsia" w:ascii="宋体" w:hAnsi="宋体" w:cs="宋体"/>
          <w:sz w:val="28"/>
          <w:szCs w:val="28"/>
          <w:u w:val="single"/>
          <w:lang w:eastAsia="zh-CN"/>
        </w:rPr>
        <w:t>长安一中实验室提升改造项目</w:t>
      </w:r>
      <w:r>
        <w:rPr>
          <w:rFonts w:hint="eastAsia" w:ascii="宋体" w:hAnsi="宋体" w:eastAsia="宋体" w:cs="宋体"/>
          <w:sz w:val="28"/>
          <w:szCs w:val="28"/>
          <w:highlight w:val="none"/>
        </w:rPr>
        <w:t>（项目编号：</w:t>
      </w:r>
      <w:r>
        <w:rPr>
          <w:rFonts w:hint="eastAsia" w:ascii="宋体" w:hAnsi="宋体" w:cs="宋体"/>
          <w:sz w:val="28"/>
          <w:szCs w:val="28"/>
          <w:highlight w:val="none"/>
          <w:lang w:eastAsia="zh-CN"/>
        </w:rPr>
        <w:t>LYCCG-2025032</w:t>
      </w:r>
      <w:r>
        <w:rPr>
          <w:rFonts w:hint="eastAsia" w:ascii="宋体" w:hAnsi="宋体" w:eastAsia="宋体" w:cs="宋体"/>
          <w:sz w:val="28"/>
          <w:szCs w:val="28"/>
          <w:highlight w:val="none"/>
          <w:lang w:eastAsia="zh-CN"/>
        </w:rPr>
        <w:t xml:space="preserve"> </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中标</w:t>
      </w:r>
      <w:r>
        <w:rPr>
          <w:rFonts w:hint="eastAsia" w:ascii="宋体" w:hAnsi="宋体" w:eastAsia="宋体" w:cs="宋体"/>
          <w:sz w:val="28"/>
          <w:szCs w:val="28"/>
          <w:highlight w:val="none"/>
        </w:rPr>
        <w:t>供应商。根据《中华人民共和国政府采购法》、《中华人民共和国民法典》及(</w:t>
      </w:r>
      <w:r>
        <w:rPr>
          <w:rFonts w:hint="eastAsia" w:ascii="宋体" w:hAnsi="宋体" w:cs="宋体"/>
          <w:sz w:val="28"/>
          <w:szCs w:val="28"/>
          <w:highlight w:val="none"/>
          <w:lang w:eastAsia="zh-CN"/>
        </w:rPr>
        <w:t>陕西龙宇诚项目管理有限公司</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招标</w:t>
      </w:r>
      <w:r>
        <w:rPr>
          <w:rFonts w:hint="eastAsia" w:ascii="宋体" w:hAnsi="宋体" w:eastAsia="宋体" w:cs="宋体"/>
          <w:sz w:val="28"/>
          <w:szCs w:val="28"/>
          <w:highlight w:val="none"/>
        </w:rPr>
        <w:t>文件，</w:t>
      </w:r>
      <w:r>
        <w:rPr>
          <w:rFonts w:hint="eastAsia" w:ascii="宋体" w:hAnsi="宋体" w:cs="宋体"/>
          <w:sz w:val="28"/>
          <w:szCs w:val="28"/>
          <w:highlight w:val="none"/>
          <w:lang w:val="en-US" w:eastAsia="zh-CN"/>
        </w:rPr>
        <w:t>中标</w:t>
      </w:r>
      <w:r>
        <w:rPr>
          <w:rFonts w:hint="eastAsia" w:ascii="宋体" w:hAnsi="宋体" w:eastAsia="宋体" w:cs="宋体"/>
          <w:sz w:val="28"/>
          <w:szCs w:val="28"/>
          <w:highlight w:val="none"/>
        </w:rPr>
        <w:t>通知书。经甲、乙双方协商。达成如下合同条款：</w:t>
      </w:r>
    </w:p>
    <w:p w14:paraId="4948376C">
      <w:pPr>
        <w:pStyle w:val="3"/>
        <w:numPr>
          <w:ilvl w:val="0"/>
          <w:numId w:val="0"/>
        </w:numPr>
        <w:tabs>
          <w:tab w:val="left" w:pos="862"/>
        </w:tabs>
        <w:spacing w:line="360" w:lineRule="auto"/>
        <w:ind w:leftChars="0"/>
        <w:jc w:val="left"/>
        <w:rPr>
          <w:rFonts w:hint="eastAsia" w:ascii="宋体" w:hAnsi="宋体" w:eastAsia="宋体" w:cs="宋体"/>
          <w:b/>
          <w:bCs/>
          <w:sz w:val="28"/>
          <w:szCs w:val="28"/>
        </w:rPr>
      </w:pPr>
      <w:bookmarkStart w:id="0" w:name="_Toc217446107"/>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合同货物</w:t>
      </w:r>
      <w:bookmarkEnd w:id="0"/>
    </w:p>
    <w:p w14:paraId="419DB2DA">
      <w:pPr>
        <w:numPr>
          <w:ilvl w:val="0"/>
          <w:numId w:val="2"/>
        </w:numPr>
        <w:spacing w:line="360" w:lineRule="auto"/>
        <w:rPr>
          <w:rFonts w:hint="eastAsia" w:ascii="宋体" w:hAnsi="宋体" w:eastAsia="宋体" w:cs="宋体"/>
          <w:b/>
          <w:bCs/>
          <w:sz w:val="28"/>
          <w:szCs w:val="28"/>
        </w:rPr>
      </w:pPr>
      <w:r>
        <w:rPr>
          <w:rFonts w:hint="eastAsia" w:ascii="宋体" w:hAnsi="宋体" w:eastAsia="宋体" w:cs="宋体"/>
          <w:b/>
          <w:bCs/>
          <w:sz w:val="28"/>
          <w:szCs w:val="28"/>
        </w:rPr>
        <w:t>产品技术规格、数量：</w:t>
      </w:r>
    </w:p>
    <w:tbl>
      <w:tblPr>
        <w:tblStyle w:val="6"/>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B25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4EE2861E">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序号</w:t>
            </w:r>
          </w:p>
        </w:tc>
        <w:tc>
          <w:tcPr>
            <w:tcW w:w="1198" w:type="dxa"/>
            <w:vAlign w:val="center"/>
          </w:tcPr>
          <w:p w14:paraId="2BF02AB7">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产品</w:t>
            </w:r>
          </w:p>
          <w:p w14:paraId="1511B33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名称</w:t>
            </w:r>
          </w:p>
        </w:tc>
        <w:tc>
          <w:tcPr>
            <w:tcW w:w="993" w:type="dxa"/>
            <w:vAlign w:val="center"/>
          </w:tcPr>
          <w:p w14:paraId="412A6C11">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品牌</w:t>
            </w:r>
          </w:p>
        </w:tc>
        <w:tc>
          <w:tcPr>
            <w:tcW w:w="1559" w:type="dxa"/>
            <w:vAlign w:val="center"/>
          </w:tcPr>
          <w:p w14:paraId="08297F30">
            <w:pPr>
              <w:spacing w:line="360" w:lineRule="auto"/>
              <w:jc w:val="center"/>
              <w:rPr>
                <w:rFonts w:hint="eastAsia" w:ascii="宋体" w:hAnsi="宋体" w:eastAsia="宋体" w:cs="宋体"/>
                <w:sz w:val="28"/>
                <w:szCs w:val="28"/>
              </w:rPr>
            </w:pPr>
            <w:r>
              <w:rPr>
                <w:rFonts w:hint="eastAsia" w:ascii="宋体" w:hAnsi="宋体" w:eastAsia="宋体" w:cs="宋体"/>
                <w:sz w:val="28"/>
                <w:szCs w:val="28"/>
              </w:rPr>
              <w:t>规格型号</w:t>
            </w:r>
          </w:p>
        </w:tc>
        <w:tc>
          <w:tcPr>
            <w:tcW w:w="850" w:type="dxa"/>
            <w:vAlign w:val="center"/>
          </w:tcPr>
          <w:p w14:paraId="719E2884">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产地</w:t>
            </w:r>
          </w:p>
        </w:tc>
        <w:tc>
          <w:tcPr>
            <w:tcW w:w="993" w:type="dxa"/>
            <w:vAlign w:val="center"/>
          </w:tcPr>
          <w:p w14:paraId="7818B13C">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单位</w:t>
            </w:r>
          </w:p>
        </w:tc>
        <w:tc>
          <w:tcPr>
            <w:tcW w:w="850" w:type="dxa"/>
            <w:vAlign w:val="center"/>
          </w:tcPr>
          <w:p w14:paraId="316DFBA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数量</w:t>
            </w:r>
          </w:p>
        </w:tc>
        <w:tc>
          <w:tcPr>
            <w:tcW w:w="1276" w:type="dxa"/>
            <w:vAlign w:val="center"/>
          </w:tcPr>
          <w:p w14:paraId="2984AD0C">
            <w:pPr>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单价</w:t>
            </w:r>
          </w:p>
          <w:p w14:paraId="2C5B5E80">
            <w:pPr>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（万元）</w:t>
            </w:r>
          </w:p>
        </w:tc>
        <w:tc>
          <w:tcPr>
            <w:tcW w:w="1299" w:type="dxa"/>
            <w:vAlign w:val="center"/>
          </w:tcPr>
          <w:p w14:paraId="30A66AD5">
            <w:pPr>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合计</w:t>
            </w:r>
          </w:p>
          <w:p w14:paraId="05D5D752">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（万元）</w:t>
            </w:r>
          </w:p>
        </w:tc>
      </w:tr>
      <w:tr w14:paraId="6FDCB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E33B338">
            <w:pPr>
              <w:spacing w:line="360" w:lineRule="auto"/>
              <w:jc w:val="both"/>
              <w:rPr>
                <w:rFonts w:hint="eastAsia" w:ascii="宋体" w:hAnsi="宋体" w:eastAsia="宋体" w:cs="宋体"/>
                <w:sz w:val="28"/>
                <w:szCs w:val="28"/>
              </w:rPr>
            </w:pPr>
          </w:p>
        </w:tc>
        <w:tc>
          <w:tcPr>
            <w:tcW w:w="1198" w:type="dxa"/>
            <w:vAlign w:val="center"/>
          </w:tcPr>
          <w:p w14:paraId="65DFFC77">
            <w:pPr>
              <w:spacing w:line="360" w:lineRule="auto"/>
              <w:jc w:val="center"/>
              <w:rPr>
                <w:rFonts w:hint="eastAsia" w:ascii="宋体" w:hAnsi="宋体" w:eastAsia="宋体" w:cs="宋体"/>
                <w:sz w:val="28"/>
                <w:szCs w:val="28"/>
              </w:rPr>
            </w:pPr>
          </w:p>
        </w:tc>
        <w:tc>
          <w:tcPr>
            <w:tcW w:w="993" w:type="dxa"/>
            <w:vAlign w:val="center"/>
          </w:tcPr>
          <w:p w14:paraId="3F2575FF">
            <w:pPr>
              <w:spacing w:line="360" w:lineRule="auto"/>
              <w:jc w:val="center"/>
              <w:rPr>
                <w:rFonts w:hint="eastAsia" w:ascii="宋体" w:hAnsi="宋体" w:eastAsia="宋体" w:cs="宋体"/>
                <w:sz w:val="28"/>
                <w:szCs w:val="28"/>
              </w:rPr>
            </w:pPr>
          </w:p>
        </w:tc>
        <w:tc>
          <w:tcPr>
            <w:tcW w:w="1559" w:type="dxa"/>
            <w:vAlign w:val="center"/>
          </w:tcPr>
          <w:p w14:paraId="0DC7CD0D">
            <w:pPr>
              <w:spacing w:line="360" w:lineRule="auto"/>
              <w:jc w:val="center"/>
              <w:rPr>
                <w:rFonts w:hint="eastAsia" w:ascii="宋体" w:hAnsi="宋体" w:eastAsia="宋体" w:cs="宋体"/>
                <w:sz w:val="28"/>
                <w:szCs w:val="28"/>
              </w:rPr>
            </w:pPr>
          </w:p>
        </w:tc>
        <w:tc>
          <w:tcPr>
            <w:tcW w:w="850" w:type="dxa"/>
            <w:vAlign w:val="center"/>
          </w:tcPr>
          <w:p w14:paraId="4079A155">
            <w:pPr>
              <w:pStyle w:val="5"/>
              <w:spacing w:line="360" w:lineRule="auto"/>
              <w:rPr>
                <w:rFonts w:hint="eastAsia" w:ascii="宋体" w:hAnsi="宋体" w:eastAsia="宋体" w:cs="宋体"/>
                <w:sz w:val="28"/>
                <w:szCs w:val="28"/>
              </w:rPr>
            </w:pPr>
          </w:p>
        </w:tc>
        <w:tc>
          <w:tcPr>
            <w:tcW w:w="993" w:type="dxa"/>
            <w:vAlign w:val="center"/>
          </w:tcPr>
          <w:p w14:paraId="7C7C1DE6">
            <w:pPr>
              <w:pStyle w:val="5"/>
              <w:spacing w:line="360" w:lineRule="auto"/>
              <w:rPr>
                <w:rFonts w:hint="eastAsia" w:ascii="宋体" w:hAnsi="宋体" w:eastAsia="宋体" w:cs="宋体"/>
                <w:sz w:val="28"/>
                <w:szCs w:val="28"/>
              </w:rPr>
            </w:pPr>
          </w:p>
        </w:tc>
        <w:tc>
          <w:tcPr>
            <w:tcW w:w="850" w:type="dxa"/>
            <w:vAlign w:val="center"/>
          </w:tcPr>
          <w:p w14:paraId="3DC5AA29">
            <w:pPr>
              <w:pStyle w:val="5"/>
              <w:spacing w:line="360" w:lineRule="auto"/>
              <w:rPr>
                <w:rFonts w:hint="eastAsia" w:ascii="宋体" w:hAnsi="宋体" w:eastAsia="宋体" w:cs="宋体"/>
                <w:sz w:val="28"/>
                <w:szCs w:val="28"/>
              </w:rPr>
            </w:pPr>
          </w:p>
        </w:tc>
        <w:tc>
          <w:tcPr>
            <w:tcW w:w="1276" w:type="dxa"/>
            <w:vAlign w:val="center"/>
          </w:tcPr>
          <w:p w14:paraId="0C65DD5D">
            <w:pPr>
              <w:pStyle w:val="5"/>
              <w:spacing w:line="360" w:lineRule="auto"/>
              <w:jc w:val="center"/>
              <w:rPr>
                <w:rFonts w:hint="eastAsia" w:ascii="宋体" w:hAnsi="宋体" w:eastAsia="宋体" w:cs="宋体"/>
                <w:sz w:val="28"/>
                <w:szCs w:val="28"/>
              </w:rPr>
            </w:pPr>
          </w:p>
        </w:tc>
        <w:tc>
          <w:tcPr>
            <w:tcW w:w="1299" w:type="dxa"/>
            <w:vAlign w:val="center"/>
          </w:tcPr>
          <w:p w14:paraId="04ADAC4B">
            <w:pPr>
              <w:pStyle w:val="5"/>
              <w:spacing w:line="360" w:lineRule="auto"/>
              <w:rPr>
                <w:rFonts w:hint="eastAsia" w:ascii="宋体" w:hAnsi="宋体" w:eastAsia="宋体" w:cs="宋体"/>
                <w:spacing w:val="-6"/>
                <w:sz w:val="28"/>
                <w:szCs w:val="28"/>
              </w:rPr>
            </w:pPr>
          </w:p>
        </w:tc>
      </w:tr>
      <w:tr w14:paraId="1F5E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7CF077B">
            <w:pPr>
              <w:spacing w:line="360" w:lineRule="auto"/>
              <w:jc w:val="center"/>
              <w:rPr>
                <w:rFonts w:hint="eastAsia" w:ascii="宋体" w:hAnsi="宋体" w:eastAsia="宋体" w:cs="宋体"/>
                <w:sz w:val="28"/>
                <w:szCs w:val="28"/>
              </w:rPr>
            </w:pPr>
          </w:p>
        </w:tc>
        <w:tc>
          <w:tcPr>
            <w:tcW w:w="1198" w:type="dxa"/>
            <w:vAlign w:val="center"/>
          </w:tcPr>
          <w:p w14:paraId="66BFB37B">
            <w:pPr>
              <w:spacing w:line="360" w:lineRule="auto"/>
              <w:jc w:val="center"/>
              <w:rPr>
                <w:rFonts w:hint="eastAsia" w:ascii="宋体" w:hAnsi="宋体" w:eastAsia="宋体" w:cs="宋体"/>
                <w:sz w:val="28"/>
                <w:szCs w:val="28"/>
              </w:rPr>
            </w:pPr>
          </w:p>
        </w:tc>
        <w:tc>
          <w:tcPr>
            <w:tcW w:w="993" w:type="dxa"/>
            <w:vAlign w:val="center"/>
          </w:tcPr>
          <w:p w14:paraId="059F220A">
            <w:pPr>
              <w:spacing w:line="360" w:lineRule="auto"/>
              <w:jc w:val="center"/>
              <w:rPr>
                <w:rFonts w:hint="eastAsia" w:ascii="宋体" w:hAnsi="宋体" w:eastAsia="宋体" w:cs="宋体"/>
                <w:sz w:val="28"/>
                <w:szCs w:val="28"/>
              </w:rPr>
            </w:pPr>
          </w:p>
        </w:tc>
        <w:tc>
          <w:tcPr>
            <w:tcW w:w="1559" w:type="dxa"/>
            <w:vAlign w:val="center"/>
          </w:tcPr>
          <w:p w14:paraId="501E278D">
            <w:pPr>
              <w:spacing w:line="360" w:lineRule="auto"/>
              <w:jc w:val="center"/>
              <w:rPr>
                <w:rFonts w:hint="eastAsia" w:ascii="宋体" w:hAnsi="宋体" w:eastAsia="宋体" w:cs="宋体"/>
                <w:sz w:val="28"/>
                <w:szCs w:val="28"/>
              </w:rPr>
            </w:pPr>
          </w:p>
        </w:tc>
        <w:tc>
          <w:tcPr>
            <w:tcW w:w="850" w:type="dxa"/>
            <w:vAlign w:val="center"/>
          </w:tcPr>
          <w:p w14:paraId="4AD2A49B">
            <w:pPr>
              <w:pStyle w:val="5"/>
              <w:spacing w:line="360" w:lineRule="auto"/>
              <w:rPr>
                <w:rFonts w:hint="eastAsia" w:ascii="宋体" w:hAnsi="宋体" w:eastAsia="宋体" w:cs="宋体"/>
                <w:sz w:val="28"/>
                <w:szCs w:val="28"/>
              </w:rPr>
            </w:pPr>
          </w:p>
        </w:tc>
        <w:tc>
          <w:tcPr>
            <w:tcW w:w="993" w:type="dxa"/>
            <w:vAlign w:val="center"/>
          </w:tcPr>
          <w:p w14:paraId="0C94C926">
            <w:pPr>
              <w:pStyle w:val="5"/>
              <w:spacing w:line="360" w:lineRule="auto"/>
              <w:rPr>
                <w:rFonts w:hint="eastAsia" w:ascii="宋体" w:hAnsi="宋体" w:eastAsia="宋体" w:cs="宋体"/>
                <w:sz w:val="28"/>
                <w:szCs w:val="28"/>
              </w:rPr>
            </w:pPr>
          </w:p>
        </w:tc>
        <w:tc>
          <w:tcPr>
            <w:tcW w:w="850" w:type="dxa"/>
            <w:vAlign w:val="center"/>
          </w:tcPr>
          <w:p w14:paraId="5E6FE17C">
            <w:pPr>
              <w:pStyle w:val="5"/>
              <w:spacing w:line="360" w:lineRule="auto"/>
              <w:rPr>
                <w:rFonts w:hint="eastAsia" w:ascii="宋体" w:hAnsi="宋体" w:eastAsia="宋体" w:cs="宋体"/>
                <w:sz w:val="28"/>
                <w:szCs w:val="28"/>
              </w:rPr>
            </w:pPr>
          </w:p>
        </w:tc>
        <w:tc>
          <w:tcPr>
            <w:tcW w:w="1276" w:type="dxa"/>
            <w:vAlign w:val="center"/>
          </w:tcPr>
          <w:p w14:paraId="48282648">
            <w:pPr>
              <w:pStyle w:val="5"/>
              <w:spacing w:line="360" w:lineRule="auto"/>
              <w:jc w:val="center"/>
              <w:rPr>
                <w:rFonts w:hint="eastAsia" w:ascii="宋体" w:hAnsi="宋体" w:eastAsia="宋体" w:cs="宋体"/>
                <w:b/>
                <w:bCs/>
                <w:sz w:val="28"/>
                <w:szCs w:val="28"/>
              </w:rPr>
            </w:pPr>
          </w:p>
        </w:tc>
        <w:tc>
          <w:tcPr>
            <w:tcW w:w="1299" w:type="dxa"/>
            <w:vAlign w:val="center"/>
          </w:tcPr>
          <w:p w14:paraId="54747CDA">
            <w:pPr>
              <w:pStyle w:val="5"/>
              <w:spacing w:line="360" w:lineRule="auto"/>
              <w:rPr>
                <w:rFonts w:hint="eastAsia" w:ascii="宋体" w:hAnsi="宋体" w:eastAsia="宋体" w:cs="宋体"/>
                <w:spacing w:val="-6"/>
                <w:sz w:val="28"/>
                <w:szCs w:val="28"/>
              </w:rPr>
            </w:pPr>
          </w:p>
        </w:tc>
      </w:tr>
      <w:tr w14:paraId="159A8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469E6445">
            <w:pPr>
              <w:spacing w:line="360" w:lineRule="auto"/>
              <w:jc w:val="center"/>
              <w:rPr>
                <w:rFonts w:hint="eastAsia" w:ascii="宋体" w:hAnsi="宋体" w:eastAsia="宋体" w:cs="宋体"/>
                <w:sz w:val="28"/>
                <w:szCs w:val="28"/>
              </w:rPr>
            </w:pPr>
          </w:p>
        </w:tc>
        <w:tc>
          <w:tcPr>
            <w:tcW w:w="1198" w:type="dxa"/>
            <w:vAlign w:val="center"/>
          </w:tcPr>
          <w:p w14:paraId="4B60558E">
            <w:pPr>
              <w:spacing w:line="360" w:lineRule="auto"/>
              <w:jc w:val="center"/>
              <w:rPr>
                <w:rFonts w:hint="eastAsia" w:ascii="宋体" w:hAnsi="宋体" w:eastAsia="宋体" w:cs="宋体"/>
                <w:sz w:val="28"/>
                <w:szCs w:val="28"/>
              </w:rPr>
            </w:pPr>
          </w:p>
        </w:tc>
        <w:tc>
          <w:tcPr>
            <w:tcW w:w="993" w:type="dxa"/>
            <w:vAlign w:val="center"/>
          </w:tcPr>
          <w:p w14:paraId="7B36310F">
            <w:pPr>
              <w:spacing w:line="360" w:lineRule="auto"/>
              <w:jc w:val="center"/>
              <w:rPr>
                <w:rFonts w:hint="eastAsia" w:ascii="宋体" w:hAnsi="宋体" w:eastAsia="宋体" w:cs="宋体"/>
                <w:sz w:val="28"/>
                <w:szCs w:val="28"/>
              </w:rPr>
            </w:pPr>
          </w:p>
        </w:tc>
        <w:tc>
          <w:tcPr>
            <w:tcW w:w="1559" w:type="dxa"/>
            <w:vAlign w:val="center"/>
          </w:tcPr>
          <w:p w14:paraId="5F13CB99">
            <w:pPr>
              <w:spacing w:line="360" w:lineRule="auto"/>
              <w:jc w:val="center"/>
              <w:rPr>
                <w:rFonts w:hint="eastAsia" w:ascii="宋体" w:hAnsi="宋体" w:eastAsia="宋体" w:cs="宋体"/>
                <w:sz w:val="28"/>
                <w:szCs w:val="28"/>
              </w:rPr>
            </w:pPr>
          </w:p>
        </w:tc>
        <w:tc>
          <w:tcPr>
            <w:tcW w:w="850" w:type="dxa"/>
            <w:vAlign w:val="center"/>
          </w:tcPr>
          <w:p w14:paraId="3A0BA03A">
            <w:pPr>
              <w:pStyle w:val="5"/>
              <w:spacing w:line="360" w:lineRule="auto"/>
              <w:rPr>
                <w:rFonts w:hint="eastAsia" w:ascii="宋体" w:hAnsi="宋体" w:eastAsia="宋体" w:cs="宋体"/>
                <w:sz w:val="28"/>
                <w:szCs w:val="28"/>
              </w:rPr>
            </w:pPr>
          </w:p>
        </w:tc>
        <w:tc>
          <w:tcPr>
            <w:tcW w:w="993" w:type="dxa"/>
            <w:vAlign w:val="center"/>
          </w:tcPr>
          <w:p w14:paraId="63036549">
            <w:pPr>
              <w:pStyle w:val="5"/>
              <w:spacing w:line="360" w:lineRule="auto"/>
              <w:rPr>
                <w:rFonts w:hint="eastAsia" w:ascii="宋体" w:hAnsi="宋体" w:eastAsia="宋体" w:cs="宋体"/>
                <w:sz w:val="28"/>
                <w:szCs w:val="28"/>
              </w:rPr>
            </w:pPr>
          </w:p>
        </w:tc>
        <w:tc>
          <w:tcPr>
            <w:tcW w:w="850" w:type="dxa"/>
            <w:vAlign w:val="center"/>
          </w:tcPr>
          <w:p w14:paraId="44CB2816">
            <w:pPr>
              <w:pStyle w:val="5"/>
              <w:spacing w:line="360" w:lineRule="auto"/>
              <w:rPr>
                <w:rFonts w:hint="eastAsia" w:ascii="宋体" w:hAnsi="宋体" w:eastAsia="宋体" w:cs="宋体"/>
                <w:sz w:val="28"/>
                <w:szCs w:val="28"/>
              </w:rPr>
            </w:pPr>
          </w:p>
        </w:tc>
        <w:tc>
          <w:tcPr>
            <w:tcW w:w="1276" w:type="dxa"/>
            <w:vAlign w:val="center"/>
          </w:tcPr>
          <w:p w14:paraId="23F0AF7E">
            <w:pPr>
              <w:pStyle w:val="5"/>
              <w:spacing w:line="360" w:lineRule="auto"/>
              <w:jc w:val="center"/>
              <w:rPr>
                <w:rFonts w:hint="eastAsia" w:ascii="宋体" w:hAnsi="宋体" w:eastAsia="宋体" w:cs="宋体"/>
                <w:sz w:val="28"/>
                <w:szCs w:val="28"/>
              </w:rPr>
            </w:pPr>
          </w:p>
        </w:tc>
        <w:tc>
          <w:tcPr>
            <w:tcW w:w="1299" w:type="dxa"/>
            <w:vAlign w:val="center"/>
          </w:tcPr>
          <w:p w14:paraId="5610C5AB">
            <w:pPr>
              <w:pStyle w:val="5"/>
              <w:spacing w:line="360" w:lineRule="auto"/>
              <w:rPr>
                <w:rFonts w:hint="eastAsia" w:ascii="宋体" w:hAnsi="宋体" w:eastAsia="宋体" w:cs="宋体"/>
                <w:spacing w:val="-6"/>
                <w:sz w:val="28"/>
                <w:szCs w:val="28"/>
              </w:rPr>
            </w:pPr>
          </w:p>
        </w:tc>
      </w:tr>
      <w:tr w14:paraId="47CFB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478B4B21">
            <w:pPr>
              <w:spacing w:line="360" w:lineRule="auto"/>
              <w:jc w:val="center"/>
              <w:rPr>
                <w:rFonts w:hint="eastAsia" w:ascii="宋体" w:hAnsi="宋体" w:eastAsia="宋体" w:cs="宋体"/>
                <w:sz w:val="28"/>
                <w:szCs w:val="28"/>
              </w:rPr>
            </w:pPr>
          </w:p>
        </w:tc>
        <w:tc>
          <w:tcPr>
            <w:tcW w:w="1198" w:type="dxa"/>
            <w:vAlign w:val="center"/>
          </w:tcPr>
          <w:p w14:paraId="25D62132">
            <w:pPr>
              <w:spacing w:line="360" w:lineRule="auto"/>
              <w:jc w:val="center"/>
              <w:rPr>
                <w:rFonts w:hint="eastAsia" w:ascii="宋体" w:hAnsi="宋体" w:eastAsia="宋体" w:cs="宋体"/>
                <w:sz w:val="28"/>
                <w:szCs w:val="28"/>
              </w:rPr>
            </w:pPr>
          </w:p>
        </w:tc>
        <w:tc>
          <w:tcPr>
            <w:tcW w:w="993" w:type="dxa"/>
            <w:vAlign w:val="center"/>
          </w:tcPr>
          <w:p w14:paraId="0FA0F331">
            <w:pPr>
              <w:spacing w:line="360" w:lineRule="auto"/>
              <w:jc w:val="center"/>
              <w:rPr>
                <w:rFonts w:hint="eastAsia" w:ascii="宋体" w:hAnsi="宋体" w:eastAsia="宋体" w:cs="宋体"/>
                <w:sz w:val="28"/>
                <w:szCs w:val="28"/>
              </w:rPr>
            </w:pPr>
          </w:p>
        </w:tc>
        <w:tc>
          <w:tcPr>
            <w:tcW w:w="1559" w:type="dxa"/>
            <w:vAlign w:val="center"/>
          </w:tcPr>
          <w:p w14:paraId="651E6623">
            <w:pPr>
              <w:spacing w:line="360" w:lineRule="auto"/>
              <w:jc w:val="center"/>
              <w:rPr>
                <w:rFonts w:hint="eastAsia" w:ascii="宋体" w:hAnsi="宋体" w:eastAsia="宋体" w:cs="宋体"/>
                <w:sz w:val="28"/>
                <w:szCs w:val="28"/>
              </w:rPr>
            </w:pPr>
          </w:p>
        </w:tc>
        <w:tc>
          <w:tcPr>
            <w:tcW w:w="850" w:type="dxa"/>
            <w:vAlign w:val="center"/>
          </w:tcPr>
          <w:p w14:paraId="48A01AAB">
            <w:pPr>
              <w:spacing w:line="360" w:lineRule="auto"/>
              <w:rPr>
                <w:rFonts w:hint="eastAsia" w:ascii="宋体" w:hAnsi="宋体" w:eastAsia="宋体" w:cs="宋体"/>
                <w:sz w:val="28"/>
                <w:szCs w:val="28"/>
              </w:rPr>
            </w:pPr>
          </w:p>
        </w:tc>
        <w:tc>
          <w:tcPr>
            <w:tcW w:w="993" w:type="dxa"/>
            <w:vAlign w:val="center"/>
          </w:tcPr>
          <w:p w14:paraId="464F3F60">
            <w:pPr>
              <w:spacing w:line="360" w:lineRule="auto"/>
              <w:jc w:val="center"/>
              <w:rPr>
                <w:rFonts w:hint="eastAsia" w:ascii="宋体" w:hAnsi="宋体" w:eastAsia="宋体" w:cs="宋体"/>
                <w:sz w:val="28"/>
                <w:szCs w:val="28"/>
              </w:rPr>
            </w:pPr>
          </w:p>
        </w:tc>
        <w:tc>
          <w:tcPr>
            <w:tcW w:w="850" w:type="dxa"/>
            <w:vAlign w:val="center"/>
          </w:tcPr>
          <w:p w14:paraId="306F6F7D">
            <w:pPr>
              <w:spacing w:line="360" w:lineRule="auto"/>
              <w:jc w:val="center"/>
              <w:rPr>
                <w:rFonts w:hint="eastAsia" w:ascii="宋体" w:hAnsi="宋体" w:eastAsia="宋体" w:cs="宋体"/>
                <w:sz w:val="28"/>
                <w:szCs w:val="28"/>
              </w:rPr>
            </w:pPr>
          </w:p>
        </w:tc>
        <w:tc>
          <w:tcPr>
            <w:tcW w:w="1276" w:type="dxa"/>
            <w:vAlign w:val="center"/>
          </w:tcPr>
          <w:p w14:paraId="76DCC5C0">
            <w:pPr>
              <w:spacing w:line="360" w:lineRule="auto"/>
              <w:jc w:val="center"/>
              <w:rPr>
                <w:rFonts w:hint="eastAsia" w:ascii="宋体" w:hAnsi="宋体" w:eastAsia="宋体" w:cs="宋体"/>
                <w:sz w:val="28"/>
                <w:szCs w:val="28"/>
              </w:rPr>
            </w:pPr>
          </w:p>
        </w:tc>
        <w:tc>
          <w:tcPr>
            <w:tcW w:w="1299" w:type="dxa"/>
            <w:vAlign w:val="center"/>
          </w:tcPr>
          <w:p w14:paraId="73238ACD">
            <w:pPr>
              <w:spacing w:line="360" w:lineRule="auto"/>
              <w:rPr>
                <w:rFonts w:hint="eastAsia" w:ascii="宋体" w:hAnsi="宋体" w:eastAsia="宋体" w:cs="宋体"/>
                <w:sz w:val="28"/>
                <w:szCs w:val="28"/>
              </w:rPr>
            </w:pPr>
          </w:p>
        </w:tc>
      </w:tr>
      <w:tr w14:paraId="115F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68436FA1">
            <w:pPr>
              <w:spacing w:line="360" w:lineRule="auto"/>
              <w:jc w:val="center"/>
              <w:rPr>
                <w:rFonts w:hint="eastAsia" w:ascii="宋体" w:hAnsi="宋体" w:eastAsia="宋体" w:cs="宋体"/>
                <w:sz w:val="28"/>
                <w:szCs w:val="28"/>
              </w:rPr>
            </w:pPr>
          </w:p>
        </w:tc>
        <w:tc>
          <w:tcPr>
            <w:tcW w:w="1198" w:type="dxa"/>
            <w:vAlign w:val="center"/>
          </w:tcPr>
          <w:p w14:paraId="7B576084">
            <w:pPr>
              <w:spacing w:line="360" w:lineRule="auto"/>
              <w:jc w:val="center"/>
              <w:rPr>
                <w:rFonts w:hint="eastAsia" w:ascii="宋体" w:hAnsi="宋体" w:eastAsia="宋体" w:cs="宋体"/>
                <w:sz w:val="28"/>
                <w:szCs w:val="28"/>
              </w:rPr>
            </w:pPr>
          </w:p>
        </w:tc>
        <w:tc>
          <w:tcPr>
            <w:tcW w:w="993" w:type="dxa"/>
            <w:vAlign w:val="center"/>
          </w:tcPr>
          <w:p w14:paraId="5DFCA2E4">
            <w:pPr>
              <w:spacing w:line="360" w:lineRule="auto"/>
              <w:jc w:val="center"/>
              <w:rPr>
                <w:rFonts w:hint="eastAsia" w:ascii="宋体" w:hAnsi="宋体" w:eastAsia="宋体" w:cs="宋体"/>
                <w:sz w:val="28"/>
                <w:szCs w:val="28"/>
              </w:rPr>
            </w:pPr>
          </w:p>
        </w:tc>
        <w:tc>
          <w:tcPr>
            <w:tcW w:w="1559" w:type="dxa"/>
            <w:vAlign w:val="center"/>
          </w:tcPr>
          <w:p w14:paraId="721DBEDF">
            <w:pPr>
              <w:spacing w:line="360" w:lineRule="auto"/>
              <w:jc w:val="center"/>
              <w:rPr>
                <w:rFonts w:hint="eastAsia" w:ascii="宋体" w:hAnsi="宋体" w:eastAsia="宋体" w:cs="宋体"/>
                <w:sz w:val="28"/>
                <w:szCs w:val="28"/>
              </w:rPr>
            </w:pPr>
          </w:p>
        </w:tc>
        <w:tc>
          <w:tcPr>
            <w:tcW w:w="850" w:type="dxa"/>
            <w:vAlign w:val="center"/>
          </w:tcPr>
          <w:p w14:paraId="50C29805">
            <w:pPr>
              <w:spacing w:line="360" w:lineRule="auto"/>
              <w:jc w:val="center"/>
              <w:rPr>
                <w:rFonts w:hint="eastAsia" w:ascii="宋体" w:hAnsi="宋体" w:eastAsia="宋体" w:cs="宋体"/>
                <w:sz w:val="28"/>
                <w:szCs w:val="28"/>
              </w:rPr>
            </w:pPr>
          </w:p>
        </w:tc>
        <w:tc>
          <w:tcPr>
            <w:tcW w:w="993" w:type="dxa"/>
            <w:vAlign w:val="center"/>
          </w:tcPr>
          <w:p w14:paraId="63C76F6A">
            <w:pPr>
              <w:spacing w:line="360" w:lineRule="auto"/>
              <w:jc w:val="center"/>
              <w:rPr>
                <w:rFonts w:hint="eastAsia" w:ascii="宋体" w:hAnsi="宋体" w:eastAsia="宋体" w:cs="宋体"/>
                <w:sz w:val="28"/>
                <w:szCs w:val="28"/>
              </w:rPr>
            </w:pPr>
          </w:p>
        </w:tc>
        <w:tc>
          <w:tcPr>
            <w:tcW w:w="850" w:type="dxa"/>
            <w:vAlign w:val="center"/>
          </w:tcPr>
          <w:p w14:paraId="4DD0A40E">
            <w:pPr>
              <w:spacing w:line="360" w:lineRule="auto"/>
              <w:jc w:val="center"/>
              <w:rPr>
                <w:rFonts w:hint="eastAsia" w:ascii="宋体" w:hAnsi="宋体" w:eastAsia="宋体" w:cs="宋体"/>
                <w:sz w:val="28"/>
                <w:szCs w:val="28"/>
              </w:rPr>
            </w:pPr>
          </w:p>
        </w:tc>
        <w:tc>
          <w:tcPr>
            <w:tcW w:w="1276" w:type="dxa"/>
            <w:vAlign w:val="center"/>
          </w:tcPr>
          <w:p w14:paraId="401F5D46">
            <w:pPr>
              <w:spacing w:line="360" w:lineRule="auto"/>
              <w:jc w:val="center"/>
              <w:rPr>
                <w:rFonts w:hint="eastAsia" w:ascii="宋体" w:hAnsi="宋体" w:eastAsia="宋体" w:cs="宋体"/>
                <w:sz w:val="28"/>
                <w:szCs w:val="28"/>
              </w:rPr>
            </w:pPr>
          </w:p>
        </w:tc>
        <w:tc>
          <w:tcPr>
            <w:tcW w:w="1299" w:type="dxa"/>
            <w:vAlign w:val="center"/>
          </w:tcPr>
          <w:p w14:paraId="19D2CBB7">
            <w:pPr>
              <w:spacing w:line="360" w:lineRule="auto"/>
              <w:rPr>
                <w:rFonts w:hint="eastAsia" w:ascii="宋体" w:hAnsi="宋体" w:eastAsia="宋体" w:cs="宋体"/>
                <w:sz w:val="28"/>
                <w:szCs w:val="28"/>
              </w:rPr>
            </w:pPr>
          </w:p>
        </w:tc>
      </w:tr>
      <w:tr w14:paraId="2B6FE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5154A86">
            <w:pPr>
              <w:spacing w:line="360" w:lineRule="auto"/>
              <w:jc w:val="center"/>
              <w:rPr>
                <w:rFonts w:hint="eastAsia" w:ascii="宋体" w:hAnsi="宋体" w:eastAsia="宋体" w:cs="宋体"/>
                <w:sz w:val="28"/>
                <w:szCs w:val="28"/>
              </w:rPr>
            </w:pPr>
          </w:p>
        </w:tc>
        <w:tc>
          <w:tcPr>
            <w:tcW w:w="1198" w:type="dxa"/>
            <w:vAlign w:val="center"/>
          </w:tcPr>
          <w:p w14:paraId="0C65431C">
            <w:pPr>
              <w:spacing w:line="360" w:lineRule="auto"/>
              <w:jc w:val="center"/>
              <w:rPr>
                <w:rFonts w:hint="eastAsia" w:ascii="宋体" w:hAnsi="宋体" w:eastAsia="宋体" w:cs="宋体"/>
                <w:sz w:val="28"/>
                <w:szCs w:val="28"/>
              </w:rPr>
            </w:pPr>
          </w:p>
        </w:tc>
        <w:tc>
          <w:tcPr>
            <w:tcW w:w="993" w:type="dxa"/>
            <w:vAlign w:val="center"/>
          </w:tcPr>
          <w:p w14:paraId="36DC00C8">
            <w:pPr>
              <w:spacing w:line="360" w:lineRule="auto"/>
              <w:jc w:val="center"/>
              <w:rPr>
                <w:rFonts w:hint="eastAsia" w:ascii="宋体" w:hAnsi="宋体" w:eastAsia="宋体" w:cs="宋体"/>
                <w:sz w:val="28"/>
                <w:szCs w:val="28"/>
              </w:rPr>
            </w:pPr>
          </w:p>
        </w:tc>
        <w:tc>
          <w:tcPr>
            <w:tcW w:w="1559" w:type="dxa"/>
            <w:vAlign w:val="center"/>
          </w:tcPr>
          <w:p w14:paraId="35556713">
            <w:pPr>
              <w:spacing w:line="360" w:lineRule="auto"/>
              <w:ind w:firstLine="560" w:firstLineChars="200"/>
              <w:rPr>
                <w:rFonts w:hint="eastAsia" w:ascii="宋体" w:hAnsi="宋体" w:eastAsia="宋体" w:cs="宋体"/>
                <w:sz w:val="28"/>
                <w:szCs w:val="28"/>
              </w:rPr>
            </w:pPr>
          </w:p>
        </w:tc>
        <w:tc>
          <w:tcPr>
            <w:tcW w:w="850" w:type="dxa"/>
            <w:vAlign w:val="center"/>
          </w:tcPr>
          <w:p w14:paraId="7C7DE077">
            <w:pPr>
              <w:spacing w:line="360" w:lineRule="auto"/>
              <w:jc w:val="center"/>
              <w:rPr>
                <w:rFonts w:hint="eastAsia" w:ascii="宋体" w:hAnsi="宋体" w:eastAsia="宋体" w:cs="宋体"/>
                <w:sz w:val="28"/>
                <w:szCs w:val="28"/>
              </w:rPr>
            </w:pPr>
          </w:p>
        </w:tc>
        <w:tc>
          <w:tcPr>
            <w:tcW w:w="993" w:type="dxa"/>
            <w:vAlign w:val="center"/>
          </w:tcPr>
          <w:p w14:paraId="07A22951">
            <w:pPr>
              <w:spacing w:line="360" w:lineRule="auto"/>
              <w:jc w:val="center"/>
              <w:rPr>
                <w:rFonts w:hint="eastAsia" w:ascii="宋体" w:hAnsi="宋体" w:eastAsia="宋体" w:cs="宋体"/>
                <w:sz w:val="28"/>
                <w:szCs w:val="28"/>
              </w:rPr>
            </w:pPr>
          </w:p>
        </w:tc>
        <w:tc>
          <w:tcPr>
            <w:tcW w:w="850" w:type="dxa"/>
            <w:vAlign w:val="center"/>
          </w:tcPr>
          <w:p w14:paraId="08C94CC4">
            <w:pPr>
              <w:spacing w:line="360" w:lineRule="auto"/>
              <w:jc w:val="center"/>
              <w:rPr>
                <w:rFonts w:hint="eastAsia" w:ascii="宋体" w:hAnsi="宋体" w:eastAsia="宋体" w:cs="宋体"/>
                <w:sz w:val="28"/>
                <w:szCs w:val="28"/>
              </w:rPr>
            </w:pPr>
          </w:p>
        </w:tc>
        <w:tc>
          <w:tcPr>
            <w:tcW w:w="1276" w:type="dxa"/>
            <w:vAlign w:val="center"/>
          </w:tcPr>
          <w:p w14:paraId="27B45D82">
            <w:pPr>
              <w:spacing w:line="360" w:lineRule="auto"/>
              <w:jc w:val="center"/>
              <w:rPr>
                <w:rFonts w:hint="eastAsia" w:ascii="宋体" w:hAnsi="宋体" w:eastAsia="宋体" w:cs="宋体"/>
                <w:sz w:val="28"/>
                <w:szCs w:val="28"/>
              </w:rPr>
            </w:pPr>
          </w:p>
        </w:tc>
        <w:tc>
          <w:tcPr>
            <w:tcW w:w="1299" w:type="dxa"/>
            <w:vAlign w:val="center"/>
          </w:tcPr>
          <w:p w14:paraId="2B487125">
            <w:pPr>
              <w:spacing w:line="360" w:lineRule="auto"/>
              <w:rPr>
                <w:rFonts w:hint="eastAsia" w:ascii="宋体" w:hAnsi="宋体" w:eastAsia="宋体" w:cs="宋体"/>
                <w:sz w:val="28"/>
                <w:szCs w:val="28"/>
              </w:rPr>
            </w:pPr>
          </w:p>
        </w:tc>
      </w:tr>
      <w:tr w14:paraId="34D9F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14391655">
            <w:pPr>
              <w:pStyle w:val="5"/>
              <w:spacing w:line="360" w:lineRule="auto"/>
              <w:ind w:firstLine="616"/>
              <w:jc w:val="center"/>
              <w:rPr>
                <w:rFonts w:hint="eastAsia" w:ascii="宋体" w:hAnsi="宋体" w:eastAsia="宋体" w:cs="宋体"/>
                <w:spacing w:val="-6"/>
                <w:sz w:val="28"/>
                <w:szCs w:val="28"/>
              </w:rPr>
            </w:pPr>
            <w:r>
              <w:rPr>
                <w:rFonts w:hint="eastAsia" w:ascii="宋体" w:hAnsi="宋体" w:eastAsia="宋体" w:cs="宋体"/>
                <w:spacing w:val="-6"/>
                <w:sz w:val="28"/>
                <w:szCs w:val="28"/>
              </w:rPr>
              <w:t>合同总价（人民币大写）：</w:t>
            </w:r>
            <w:r>
              <w:rPr>
                <w:rFonts w:hint="eastAsia" w:ascii="宋体" w:hAnsi="宋体" w:eastAsia="宋体" w:cs="宋体"/>
                <w:sz w:val="28"/>
                <w:szCs w:val="28"/>
              </w:rPr>
              <w:t xml:space="preserve">         元整 </w:t>
            </w:r>
            <w:r>
              <w:rPr>
                <w:rFonts w:hint="eastAsia" w:ascii="宋体" w:hAnsi="宋体" w:eastAsia="宋体" w:cs="宋体"/>
                <w:spacing w:val="-6"/>
                <w:sz w:val="28"/>
                <w:szCs w:val="28"/>
              </w:rPr>
              <w:t>（￥     万元）</w:t>
            </w:r>
          </w:p>
        </w:tc>
      </w:tr>
    </w:tbl>
    <w:p w14:paraId="2993A2C5">
      <w:pPr>
        <w:spacing w:line="360" w:lineRule="auto"/>
        <w:rPr>
          <w:rFonts w:hint="eastAsia" w:ascii="宋体" w:hAnsi="宋体" w:eastAsia="宋体" w:cs="宋体"/>
          <w:b/>
          <w:bCs/>
          <w:sz w:val="28"/>
          <w:szCs w:val="28"/>
        </w:rPr>
      </w:pPr>
    </w:p>
    <w:p w14:paraId="492401F1">
      <w:pPr>
        <w:pStyle w:val="3"/>
        <w:numPr>
          <w:ilvl w:val="0"/>
          <w:numId w:val="0"/>
        </w:numPr>
        <w:tabs>
          <w:tab w:val="left" w:pos="862"/>
        </w:tabs>
        <w:spacing w:line="360" w:lineRule="auto"/>
        <w:jc w:val="both"/>
        <w:rPr>
          <w:rFonts w:hint="eastAsia" w:ascii="宋体" w:hAnsi="宋体" w:eastAsia="宋体" w:cs="宋体"/>
          <w:b/>
          <w:bCs/>
          <w:sz w:val="28"/>
          <w:szCs w:val="28"/>
        </w:rPr>
      </w:pPr>
      <w:bookmarkStart w:id="1" w:name="_Toc217446108"/>
      <w:r>
        <w:rPr>
          <w:rFonts w:hint="eastAsia" w:ascii="宋体" w:hAnsi="宋体" w:eastAsia="宋体" w:cs="宋体"/>
          <w:b/>
          <w:bCs/>
          <w:sz w:val="28"/>
          <w:szCs w:val="28"/>
        </w:rPr>
        <w:t>二、合同总价</w:t>
      </w:r>
      <w:bookmarkEnd w:id="1"/>
    </w:p>
    <w:p w14:paraId="49CCC360">
      <w:pPr>
        <w:pStyle w:val="4"/>
        <w:spacing w:line="360" w:lineRule="auto"/>
        <w:ind w:firstLine="630" w:firstLineChars="225"/>
        <w:rPr>
          <w:rFonts w:hint="eastAsia" w:ascii="宋体" w:hAnsi="宋体" w:eastAsia="宋体" w:cs="宋体"/>
          <w:sz w:val="28"/>
          <w:szCs w:val="28"/>
        </w:rPr>
      </w:pPr>
      <w:r>
        <w:rPr>
          <w:rFonts w:hint="eastAsia" w:ascii="宋体" w:hAnsi="宋体" w:eastAsia="宋体" w:cs="宋体"/>
          <w:sz w:val="28"/>
          <w:szCs w:val="28"/>
        </w:rPr>
        <w:t>合同总价为人民币大写：</w:t>
      </w:r>
      <w:r>
        <w:rPr>
          <w:rFonts w:hint="eastAsia" w:ascii="宋体" w:hAnsi="宋体" w:eastAsia="宋体" w:cs="宋体"/>
          <w:b/>
          <w:bCs/>
          <w:sz w:val="28"/>
          <w:szCs w:val="28"/>
          <w:u w:val="single"/>
        </w:rPr>
        <w:t xml:space="preserve">           </w:t>
      </w:r>
      <w:r>
        <w:rPr>
          <w:rFonts w:hint="eastAsia" w:ascii="宋体" w:hAnsi="宋体" w:eastAsia="宋体" w:cs="宋体"/>
          <w:sz w:val="28"/>
          <w:szCs w:val="28"/>
        </w:rPr>
        <w:t>，即RMB￥</w:t>
      </w:r>
      <w:r>
        <w:rPr>
          <w:rFonts w:hint="eastAsia" w:ascii="宋体" w:hAnsi="宋体" w:eastAsia="宋体" w:cs="宋体"/>
          <w:sz w:val="28"/>
          <w:szCs w:val="28"/>
          <w:u w:val="single"/>
        </w:rPr>
        <w:t xml:space="preserve"> </w:t>
      </w:r>
      <w:r>
        <w:rPr>
          <w:rFonts w:hint="eastAsia" w:ascii="宋体" w:hAnsi="宋体" w:eastAsia="宋体" w:cs="宋体"/>
          <w:b/>
          <w:bCs/>
          <w:sz w:val="28"/>
          <w:szCs w:val="28"/>
          <w:u w:val="single"/>
        </w:rPr>
        <w:t xml:space="preserve">    </w:t>
      </w:r>
      <w:r>
        <w:rPr>
          <w:rFonts w:hint="eastAsia" w:ascii="宋体" w:hAnsi="宋体" w:eastAsia="宋体" w:cs="宋体"/>
          <w:sz w:val="28"/>
          <w:szCs w:val="28"/>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7EB88E12">
      <w:pPr>
        <w:spacing w:line="360" w:lineRule="auto"/>
        <w:rPr>
          <w:rFonts w:hint="eastAsia" w:ascii="宋体" w:hAnsi="宋体" w:eastAsia="宋体" w:cs="宋体"/>
          <w:b/>
          <w:bCs/>
          <w:sz w:val="28"/>
          <w:szCs w:val="28"/>
        </w:rPr>
      </w:pPr>
      <w:bookmarkStart w:id="2" w:name="_Toc217446109"/>
      <w:r>
        <w:rPr>
          <w:rFonts w:hint="eastAsia" w:ascii="宋体" w:hAnsi="宋体" w:eastAsia="宋体" w:cs="宋体"/>
          <w:b/>
          <w:bCs/>
          <w:sz w:val="28"/>
          <w:szCs w:val="28"/>
        </w:rPr>
        <w:t>三、商务条款：</w:t>
      </w:r>
    </w:p>
    <w:p w14:paraId="433D4564">
      <w:pPr>
        <w:spacing w:line="360" w:lineRule="auto"/>
        <w:ind w:firstLine="48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lang w:val="en-US" w:eastAsia="zh-CN"/>
        </w:rPr>
        <w:t>交货</w:t>
      </w:r>
      <w:r>
        <w:rPr>
          <w:rFonts w:hint="eastAsia" w:ascii="宋体" w:hAnsi="宋体" w:eastAsia="宋体" w:cs="宋体"/>
          <w:b/>
          <w:bCs/>
          <w:sz w:val="28"/>
          <w:szCs w:val="28"/>
        </w:rPr>
        <w:t>期：</w:t>
      </w:r>
      <w:r>
        <w:rPr>
          <w:rFonts w:hint="eastAsia" w:ascii="宋体" w:hAnsi="宋体" w:eastAsia="宋体" w:cs="宋体"/>
          <w:sz w:val="28"/>
          <w:szCs w:val="28"/>
        </w:rPr>
        <w:t xml:space="preserve"> </w:t>
      </w:r>
      <w:r>
        <w:rPr>
          <w:rFonts w:hint="eastAsia" w:ascii="宋体" w:hAnsi="宋体" w:eastAsia="宋体" w:cs="宋体"/>
          <w:sz w:val="28"/>
          <w:szCs w:val="28"/>
          <w:u w:val="single"/>
          <w:lang w:val="en-US" w:eastAsia="zh-CN"/>
        </w:rPr>
        <w:t xml:space="preserve">                         </w:t>
      </w:r>
    </w:p>
    <w:p w14:paraId="48DA2D50">
      <w:pPr>
        <w:spacing w:line="360"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rPr>
        <w:t>2、</w:t>
      </w:r>
      <w:r>
        <w:rPr>
          <w:rFonts w:hint="eastAsia" w:ascii="宋体" w:hAnsi="宋体" w:eastAsia="宋体" w:cs="宋体"/>
          <w:b/>
          <w:bCs/>
          <w:sz w:val="28"/>
          <w:szCs w:val="28"/>
          <w:lang w:val="en-US" w:eastAsia="zh-CN"/>
        </w:rPr>
        <w:t>交货</w:t>
      </w:r>
      <w:r>
        <w:rPr>
          <w:rFonts w:hint="eastAsia" w:ascii="宋体" w:hAnsi="宋体" w:eastAsia="宋体" w:cs="宋体"/>
          <w:b/>
          <w:bCs/>
          <w:sz w:val="28"/>
          <w:szCs w:val="28"/>
        </w:rPr>
        <w:t xml:space="preserve">地点: </w:t>
      </w:r>
      <w:r>
        <w:rPr>
          <w:rFonts w:hint="eastAsia" w:ascii="宋体" w:hAnsi="宋体" w:eastAsia="宋体" w:cs="宋体"/>
          <w:sz w:val="28"/>
          <w:szCs w:val="28"/>
          <w:u w:val="single"/>
        </w:rPr>
        <w:t>根据甲方指定交货地点交货</w:t>
      </w:r>
    </w:p>
    <w:p w14:paraId="2CC2FC9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b/>
          <w:bCs/>
          <w:sz w:val="28"/>
          <w:szCs w:val="28"/>
        </w:rPr>
        <w:t>付款方式：</w:t>
      </w:r>
    </w:p>
    <w:p w14:paraId="4E0488FA">
      <w:pPr>
        <w:numPr>
          <w:ilvl w:val="0"/>
          <w:numId w:val="0"/>
        </w:numPr>
        <w:spacing w:line="360" w:lineRule="auto"/>
        <w:ind w:left="210" w:leftChars="0" w:firstLine="560" w:firstLineChars="200"/>
        <w:rPr>
          <w:rFonts w:hint="eastAsia" w:ascii="宋体" w:hAnsi="宋体" w:eastAsia="宋体" w:cs="宋体"/>
          <w:sz w:val="28"/>
          <w:szCs w:val="28"/>
        </w:rPr>
      </w:pPr>
      <w:r>
        <w:rPr>
          <w:rFonts w:hint="eastAsia" w:ascii="宋体" w:hAnsi="宋体" w:eastAsia="宋体" w:cs="宋体"/>
          <w:sz w:val="28"/>
          <w:szCs w:val="28"/>
          <w:highlight w:val="none"/>
        </w:rPr>
        <w:t>所有产品验收合格后，</w:t>
      </w:r>
      <w:r>
        <w:rPr>
          <w:rFonts w:hint="eastAsia" w:ascii="宋体" w:hAnsi="宋体" w:eastAsia="宋体" w:cs="宋体"/>
          <w:sz w:val="28"/>
          <w:szCs w:val="28"/>
          <w:highlight w:val="none"/>
          <w:lang w:val="en-US" w:eastAsia="zh-CN"/>
        </w:rPr>
        <w:t>由乙方开具真实发票后，甲方</w:t>
      </w:r>
      <w:r>
        <w:rPr>
          <w:rFonts w:hint="eastAsia" w:ascii="宋体" w:hAnsi="宋体" w:eastAsia="宋体" w:cs="宋体"/>
          <w:sz w:val="28"/>
          <w:szCs w:val="28"/>
          <w:highlight w:val="none"/>
        </w:rPr>
        <w:t>支付合同总价的</w:t>
      </w:r>
      <w:r>
        <w:rPr>
          <w:rFonts w:hint="eastAsia" w:ascii="宋体" w:hAnsi="宋体" w:eastAsia="宋体" w:cs="宋体"/>
          <w:sz w:val="28"/>
          <w:szCs w:val="28"/>
          <w:highlight w:val="none"/>
          <w:lang w:val="en-US" w:eastAsia="zh-CN"/>
        </w:rPr>
        <w:t>100</w:t>
      </w:r>
      <w:r>
        <w:rPr>
          <w:rFonts w:hint="eastAsia" w:ascii="宋体" w:hAnsi="宋体" w:eastAsia="宋体" w:cs="宋体"/>
          <w:sz w:val="28"/>
          <w:szCs w:val="28"/>
          <w:highlight w:val="none"/>
        </w:rPr>
        <w:t>%。</w:t>
      </w:r>
      <w:r>
        <w:rPr>
          <w:rFonts w:hint="eastAsia" w:ascii="宋体" w:hAnsi="宋体" w:eastAsia="宋体" w:cs="宋体"/>
          <w:sz w:val="28"/>
          <w:szCs w:val="28"/>
        </w:rPr>
        <w:t>即</w:t>
      </w:r>
      <w:r>
        <w:rPr>
          <w:rFonts w:hint="eastAsia" w:ascii="宋体" w:hAnsi="宋体" w:eastAsia="宋体" w:cs="宋体"/>
          <w:b w:val="0"/>
          <w:bCs w:val="0"/>
          <w:sz w:val="28"/>
          <w:szCs w:val="28"/>
          <w:u w:val="single"/>
        </w:rPr>
        <w:t>人民币     元（大写：       元整）</w:t>
      </w:r>
      <w:r>
        <w:rPr>
          <w:rFonts w:hint="eastAsia" w:ascii="宋体" w:hAnsi="宋体" w:eastAsia="宋体" w:cs="宋体"/>
          <w:b w:val="0"/>
          <w:bCs w:val="0"/>
          <w:sz w:val="28"/>
          <w:szCs w:val="28"/>
          <w:lang w:eastAsia="zh-CN"/>
        </w:rPr>
        <w:t>。</w:t>
      </w:r>
    </w:p>
    <w:p w14:paraId="2A4F4495">
      <w:pPr>
        <w:pStyle w:val="3"/>
        <w:numPr>
          <w:ilvl w:val="0"/>
          <w:numId w:val="0"/>
        </w:numPr>
        <w:tabs>
          <w:tab w:val="left" w:pos="862"/>
        </w:tabs>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四、 质量</w:t>
      </w:r>
      <w:bookmarkEnd w:id="2"/>
      <w:r>
        <w:rPr>
          <w:rFonts w:hint="eastAsia" w:ascii="宋体" w:hAnsi="宋体" w:eastAsia="宋体" w:cs="宋体"/>
          <w:b/>
          <w:bCs/>
          <w:sz w:val="28"/>
          <w:szCs w:val="28"/>
        </w:rPr>
        <w:t>保证</w:t>
      </w:r>
    </w:p>
    <w:p w14:paraId="279EF828">
      <w:pPr>
        <w:spacing w:line="360" w:lineRule="auto"/>
        <w:ind w:firstLine="560" w:firstLineChars="200"/>
        <w:rPr>
          <w:rFonts w:hint="eastAsia" w:ascii="宋体" w:hAnsi="宋体" w:eastAsia="宋体" w:cs="宋体"/>
          <w:color w:val="000000"/>
          <w:sz w:val="28"/>
          <w:szCs w:val="28"/>
        </w:rPr>
      </w:pPr>
      <w:bookmarkStart w:id="3" w:name="_Toc217446110"/>
      <w:r>
        <w:rPr>
          <w:rFonts w:hint="eastAsia" w:ascii="宋体" w:hAnsi="宋体" w:eastAsia="宋体" w:cs="宋体"/>
          <w:color w:val="000000"/>
          <w:sz w:val="28"/>
          <w:szCs w:val="28"/>
        </w:rPr>
        <w:t>1、</w:t>
      </w:r>
      <w:r>
        <w:rPr>
          <w:rFonts w:hint="eastAsia" w:ascii="宋体" w:hAnsi="宋体" w:eastAsia="宋体" w:cs="宋体"/>
          <w:sz w:val="28"/>
          <w:szCs w:val="28"/>
        </w:rPr>
        <w:t>质量保证期为最终验收合格后</w:t>
      </w:r>
      <w:r>
        <w:rPr>
          <w:rFonts w:hint="eastAsia" w:ascii="宋体" w:hAnsi="宋体" w:eastAsia="宋体" w:cs="宋体"/>
          <w:sz w:val="28"/>
          <w:szCs w:val="28"/>
          <w:u w:val="single"/>
        </w:rPr>
        <w:t xml:space="preserve">       </w:t>
      </w:r>
      <w:r>
        <w:rPr>
          <w:rFonts w:hint="eastAsia" w:ascii="宋体" w:hAnsi="宋体" w:eastAsia="宋体" w:cs="宋体"/>
          <w:sz w:val="28"/>
          <w:szCs w:val="28"/>
        </w:rPr>
        <w:t>个月。</w:t>
      </w:r>
    </w:p>
    <w:p w14:paraId="2B4A56A3">
      <w:pPr>
        <w:spacing w:line="360" w:lineRule="auto"/>
        <w:ind w:firstLine="480"/>
        <w:rPr>
          <w:rFonts w:hint="eastAsia" w:ascii="宋体" w:hAnsi="宋体" w:eastAsia="宋体" w:cs="宋体"/>
          <w:sz w:val="28"/>
          <w:szCs w:val="28"/>
        </w:rPr>
      </w:pPr>
      <w:r>
        <w:rPr>
          <w:rFonts w:hint="eastAsia" w:ascii="宋体" w:hAnsi="宋体" w:eastAsia="宋体" w:cs="宋体"/>
          <w:color w:val="000000"/>
          <w:sz w:val="28"/>
          <w:szCs w:val="28"/>
        </w:rPr>
        <w:t>2、</w:t>
      </w:r>
      <w:r>
        <w:rPr>
          <w:rFonts w:hint="eastAsia" w:ascii="宋体" w:hAnsi="宋体" w:eastAsia="宋体" w:cs="宋体"/>
          <w:sz w:val="28"/>
          <w:szCs w:val="28"/>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74BECBC4">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3、包装：包装必须适应货物特性和交通运输要求，以及国家有关标准或企业标准或合同要求。乙方应承担于包装、防护措施不妥引起的所有损失的责任和费用。</w:t>
      </w:r>
    </w:p>
    <w:p w14:paraId="667FD64F">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4、运输：乙方可根据完工期、运输条件自行选择运输方式（另有规定的除外），承担一切运输费用。</w:t>
      </w:r>
    </w:p>
    <w:p w14:paraId="55E18CBA">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5、技术保障：乙方应随同货物提供相应的中文技术文件（包括产品合格证、装箱清单、操作手册、使用说明、检测报告、维护手册、服务指南等资料）,现场安装、调试、试运行技术保障服务。</w:t>
      </w:r>
    </w:p>
    <w:p w14:paraId="32DBCAA4">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6、人员培训：提供免费培训，人数、地点按采购人的要求约定。</w:t>
      </w:r>
    </w:p>
    <w:p w14:paraId="1F9476A7">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7、采购项目执行内容需要调整时，经采购人同意后，可以对相应的原材料进行调整，并协商确定价格差额计算方法和负担办法。</w:t>
      </w:r>
    </w:p>
    <w:p w14:paraId="3CC6E8F1">
      <w:pPr>
        <w:pStyle w:val="3"/>
        <w:numPr>
          <w:ilvl w:val="0"/>
          <w:numId w:val="0"/>
        </w:numPr>
        <w:tabs>
          <w:tab w:val="left" w:pos="862"/>
        </w:tabs>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五、</w:t>
      </w:r>
      <w:bookmarkEnd w:id="3"/>
      <w:r>
        <w:rPr>
          <w:rFonts w:hint="eastAsia" w:ascii="宋体" w:hAnsi="宋体" w:eastAsia="宋体" w:cs="宋体"/>
          <w:b/>
          <w:bCs/>
          <w:sz w:val="28"/>
          <w:szCs w:val="28"/>
        </w:rPr>
        <w:t>售后服务要求</w:t>
      </w:r>
    </w:p>
    <w:p w14:paraId="3BDE601C">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w:t>
      </w:r>
      <w:r>
        <w:rPr>
          <w:rFonts w:hint="eastAsia" w:ascii="宋体" w:hAnsi="宋体" w:eastAsia="宋体" w:cs="宋体"/>
          <w:sz w:val="28"/>
          <w:szCs w:val="28"/>
        </w:rPr>
        <w:t>乙方保证提供的</w:t>
      </w:r>
      <w:bookmarkStart w:id="4" w:name="_Hlk27046681"/>
      <w:r>
        <w:rPr>
          <w:rFonts w:hint="eastAsia" w:ascii="宋体" w:hAnsi="宋体" w:eastAsia="宋体" w:cs="宋体"/>
          <w:sz w:val="28"/>
          <w:szCs w:val="28"/>
        </w:rPr>
        <w:t>产品</w:t>
      </w:r>
      <w:bookmarkEnd w:id="4"/>
      <w:r>
        <w:rPr>
          <w:rFonts w:hint="eastAsia" w:ascii="宋体" w:hAnsi="宋体" w:eastAsia="宋体" w:cs="宋体"/>
          <w:sz w:val="28"/>
          <w:szCs w:val="28"/>
        </w:rPr>
        <w:t>是通过正常渠道获得的、全新的、未使用过的合格产品；其有关技术、专利、检验、商务等均要符合中华人民共和国的有关法律、法规；乙方必须承担因所供产品而引起的全部法律责任。</w:t>
      </w:r>
    </w:p>
    <w:p w14:paraId="579D7758">
      <w:pPr>
        <w:spacing w:line="360" w:lineRule="auto"/>
        <w:ind w:firstLine="480"/>
        <w:rPr>
          <w:rFonts w:hint="eastAsia" w:ascii="宋体" w:hAnsi="宋体" w:eastAsia="宋体" w:cs="宋体"/>
          <w:color w:val="000000"/>
          <w:sz w:val="28"/>
          <w:szCs w:val="28"/>
        </w:rPr>
      </w:pPr>
      <w:r>
        <w:rPr>
          <w:rFonts w:hint="eastAsia" w:ascii="宋体" w:hAnsi="宋体" w:eastAsia="宋体" w:cs="宋体"/>
          <w:sz w:val="28"/>
          <w:szCs w:val="28"/>
        </w:rPr>
        <w:t>2、乙方的责任包括从产品交付到整个项目（安装调试完毕）的交付使用，质量保证期内的免费维护和修理，质量保证期内的维护指导和维修等。</w:t>
      </w:r>
    </w:p>
    <w:p w14:paraId="1A373D6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3、乙方应保证设备在进行安装、调试和使用等过程中损坏的或有缺陷的部件可方便地得到免费修理和免费更换。</w:t>
      </w:r>
    </w:p>
    <w:p w14:paraId="5930447F">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4、乙方使用的原材料应提供清单，并在到货24小时内通知甲方代表检验核实（校方自行验收）。</w:t>
      </w:r>
    </w:p>
    <w:p w14:paraId="7DD08ECC">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6、在质保期内，如果发现货物的质量、规格、技术指标等存在与合同中任何一项不符，甲方应在最短时间内，以书面形式向乙方提出索赔。同时通告采购代理机构。</w:t>
      </w:r>
    </w:p>
    <w:p w14:paraId="490AAA50">
      <w:pPr>
        <w:spacing w:line="360" w:lineRule="auto"/>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7、保修期内，损坏部件的修理费、往返运保费等均由乙方承担。保修期外，按照第四条质量保证第2小项执行。</w:t>
      </w:r>
    </w:p>
    <w:p w14:paraId="36C88AB9">
      <w:pPr>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六、验收</w:t>
      </w:r>
    </w:p>
    <w:p w14:paraId="2AA3E105">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sz w:val="28"/>
          <w:szCs w:val="28"/>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18DF3E83">
      <w:pPr>
        <w:pStyle w:val="3"/>
        <w:numPr>
          <w:ilvl w:val="0"/>
          <w:numId w:val="0"/>
        </w:numPr>
        <w:tabs>
          <w:tab w:val="left" w:pos="862"/>
        </w:tabs>
        <w:spacing w:line="360" w:lineRule="auto"/>
        <w:jc w:val="left"/>
        <w:rPr>
          <w:rFonts w:hint="eastAsia" w:ascii="宋体" w:hAnsi="宋体" w:eastAsia="宋体" w:cs="宋体"/>
          <w:b/>
          <w:bCs/>
          <w:sz w:val="28"/>
          <w:szCs w:val="28"/>
          <w:highlight w:val="none"/>
        </w:rPr>
      </w:pPr>
      <w:bookmarkStart w:id="5" w:name="_Toc217446114"/>
      <w:r>
        <w:rPr>
          <w:rFonts w:hint="eastAsia" w:ascii="宋体" w:hAnsi="宋体" w:eastAsia="宋体" w:cs="宋体"/>
          <w:b/>
          <w:bCs/>
          <w:sz w:val="28"/>
          <w:szCs w:val="28"/>
          <w:highlight w:val="none"/>
        </w:rPr>
        <w:t>七、争议解决办法</w:t>
      </w:r>
      <w:bookmarkEnd w:id="5"/>
    </w:p>
    <w:p w14:paraId="7F6B5ADB">
      <w:pPr>
        <w:pStyle w:val="8"/>
        <w:spacing w:line="360" w:lineRule="auto"/>
        <w:ind w:firstLine="48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1、乙方未征得甲方同意和谅解而单方面延迟完工，将按违约终止合同。</w:t>
      </w:r>
    </w:p>
    <w:p w14:paraId="16E6F3B0">
      <w:pPr>
        <w:pStyle w:val="8"/>
        <w:spacing w:line="360" w:lineRule="auto"/>
        <w:ind w:firstLine="48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2395E7EA">
      <w:pPr>
        <w:pStyle w:val="8"/>
        <w:spacing w:line="360" w:lineRule="auto"/>
        <w:ind w:firstLine="48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3、因货物的质量问题发生争议，由质量技术监督部门或其指定的质量鉴定机构进行质量鉴定。鉴定费由乙方承担。</w:t>
      </w:r>
    </w:p>
    <w:p w14:paraId="51B46C2F">
      <w:pPr>
        <w:pStyle w:val="8"/>
        <w:spacing w:line="360" w:lineRule="auto"/>
        <w:ind w:firstLine="48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4、合同履行期间,若双方发生争议，可协商或由有关部门调解解决，协商或调解不成的，由当事人依法维护其合法权益。</w:t>
      </w:r>
    </w:p>
    <w:p w14:paraId="275C0AF4">
      <w:pPr>
        <w:pStyle w:val="3"/>
        <w:numPr>
          <w:ilvl w:val="0"/>
          <w:numId w:val="0"/>
        </w:numPr>
        <w:tabs>
          <w:tab w:val="left" w:pos="862"/>
        </w:tabs>
        <w:spacing w:line="360" w:lineRule="auto"/>
        <w:jc w:val="left"/>
        <w:rPr>
          <w:rFonts w:hint="eastAsia" w:ascii="宋体" w:hAnsi="宋体" w:eastAsia="宋体" w:cs="宋体"/>
          <w:b/>
          <w:bCs/>
          <w:sz w:val="28"/>
          <w:szCs w:val="28"/>
          <w:highlight w:val="none"/>
        </w:rPr>
      </w:pPr>
      <w:bookmarkStart w:id="6" w:name="_Toc217446115"/>
      <w:r>
        <w:rPr>
          <w:rFonts w:hint="eastAsia" w:ascii="宋体" w:hAnsi="宋体" w:eastAsia="宋体" w:cs="宋体"/>
          <w:b/>
          <w:bCs/>
          <w:sz w:val="28"/>
          <w:szCs w:val="28"/>
          <w:highlight w:val="none"/>
        </w:rPr>
        <w:t>八、其他</w:t>
      </w:r>
      <w:bookmarkEnd w:id="6"/>
    </w:p>
    <w:p w14:paraId="1EB304B8">
      <w:pPr>
        <w:pStyle w:val="8"/>
        <w:spacing w:line="360" w:lineRule="auto"/>
        <w:ind w:firstLine="48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1、如有未尽事宜，由双方依法订立补充合同。</w:t>
      </w:r>
    </w:p>
    <w:p w14:paraId="047ECE77">
      <w:pPr>
        <w:pStyle w:val="8"/>
        <w:spacing w:line="360" w:lineRule="auto"/>
        <w:ind w:firstLine="48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2、本合同一式捌份，甲方、乙方、采购代理机构各执贰份，政府采购管理部门备案贰份。签字盖章后生效，合同执行完毕自动失效。（合同的服务承诺则长期有效）。</w:t>
      </w:r>
    </w:p>
    <w:p w14:paraId="4ABDD832">
      <w:pPr>
        <w:pStyle w:val="8"/>
        <w:spacing w:line="360" w:lineRule="auto"/>
        <w:ind w:left="0" w:leftChars="0" w:firstLine="0" w:firstLineChars="0"/>
        <w:rPr>
          <w:rFonts w:hint="eastAsia" w:ascii="宋体" w:hAnsi="宋体" w:eastAsia="宋体" w:cs="宋体"/>
          <w:color w:val="000000"/>
          <w:kern w:val="2"/>
          <w:sz w:val="28"/>
          <w:szCs w:val="28"/>
          <w:lang w:val="en-US" w:eastAsia="zh-CN" w:bidi="ar-SA"/>
        </w:rPr>
      </w:pPr>
    </w:p>
    <w:p w14:paraId="03DE27BD">
      <w:pPr>
        <w:pStyle w:val="8"/>
        <w:spacing w:line="360" w:lineRule="auto"/>
        <w:ind w:left="0" w:leftChars="0" w:firstLine="0" w:firstLineChars="0"/>
        <w:rPr>
          <w:rFonts w:hint="eastAsia" w:ascii="宋体" w:hAnsi="宋体" w:eastAsia="宋体" w:cs="宋体"/>
          <w:color w:val="000000"/>
          <w:kern w:val="2"/>
          <w:sz w:val="28"/>
          <w:szCs w:val="28"/>
          <w:lang w:val="en-US" w:eastAsia="zh-CN" w:bidi="ar-SA"/>
        </w:rPr>
      </w:pPr>
    </w:p>
    <w:p w14:paraId="45CEC971">
      <w:pPr>
        <w:spacing w:line="480" w:lineRule="auto"/>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kern w:val="2"/>
          <w:sz w:val="28"/>
          <w:szCs w:val="28"/>
          <w:lang w:val="en-US" w:eastAsia="zh-CN" w:bidi="ar-SA"/>
        </w:rPr>
        <w:t>西安市长安区第一中学</w:t>
      </w:r>
      <w:r>
        <w:rPr>
          <w:rFonts w:hint="eastAsia" w:ascii="宋体" w:hAnsi="宋体" w:eastAsia="宋体" w:cs="宋体"/>
          <w:sz w:val="28"/>
          <w:szCs w:val="28"/>
        </w:rPr>
        <w:t xml:space="preserve">（盖章）    </w:t>
      </w:r>
      <w:bookmarkStart w:id="7" w:name="_GoBack"/>
      <w:bookmarkEnd w:id="7"/>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乙方：            （盖章）            </w:t>
      </w:r>
    </w:p>
    <w:p w14:paraId="6158312E">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法定代表人：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法定代表人：</w:t>
      </w:r>
    </w:p>
    <w:p w14:paraId="51F02FFA">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代理人：（签字）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代理人：（签字）</w:t>
      </w:r>
    </w:p>
    <w:p w14:paraId="6FB06A1B">
      <w:pPr>
        <w:spacing w:line="480" w:lineRule="auto"/>
        <w:rPr>
          <w:rFonts w:hint="eastAsia" w:ascii="宋体" w:hAnsi="宋体" w:eastAsia="宋体" w:cs="宋体"/>
          <w:sz w:val="28"/>
          <w:szCs w:val="28"/>
        </w:rPr>
      </w:pPr>
      <w:r>
        <w:rPr>
          <w:rFonts w:hint="eastAsia" w:ascii="宋体" w:hAnsi="宋体" w:eastAsia="宋体" w:cs="宋体"/>
          <w:sz w:val="28"/>
          <w:szCs w:val="28"/>
        </w:rPr>
        <w:t>电</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话：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电</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话：</w:t>
      </w:r>
    </w:p>
    <w:p w14:paraId="43A5AC66">
      <w:pPr>
        <w:spacing w:line="360" w:lineRule="auto"/>
        <w:rPr>
          <w:rFonts w:hint="eastAsia" w:ascii="宋体" w:hAnsi="宋体" w:eastAsia="宋体" w:cs="宋体"/>
          <w:sz w:val="28"/>
          <w:szCs w:val="28"/>
        </w:rPr>
      </w:pPr>
      <w:r>
        <w:rPr>
          <w:rFonts w:hint="eastAsia" w:ascii="宋体" w:hAnsi="宋体" w:eastAsia="宋体" w:cs="宋体"/>
          <w:sz w:val="28"/>
          <w:szCs w:val="28"/>
        </w:rPr>
        <w:t>开户行：</w:t>
      </w: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开户行： </w:t>
      </w:r>
    </w:p>
    <w:p w14:paraId="6F71ED16">
      <w:pPr>
        <w:spacing w:line="360" w:lineRule="auto"/>
        <w:ind w:firstLine="1680" w:firstLineChars="600"/>
        <w:rPr>
          <w:rFonts w:hint="eastAsia" w:ascii="宋体" w:hAnsi="宋体" w:eastAsia="宋体" w:cs="宋体"/>
          <w:sz w:val="28"/>
          <w:szCs w:val="28"/>
        </w:rPr>
      </w:pP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p>
    <w:p w14:paraId="6DD8DBB0">
      <w:pPr>
        <w:spacing w:line="360" w:lineRule="auto"/>
        <w:rPr>
          <w:rFonts w:hint="eastAsia" w:ascii="宋体" w:hAnsi="宋体" w:eastAsia="宋体" w:cs="宋体"/>
          <w:sz w:val="28"/>
          <w:szCs w:val="28"/>
        </w:rPr>
      </w:pPr>
      <w:r>
        <w:rPr>
          <w:rFonts w:hint="eastAsia" w:ascii="宋体" w:hAnsi="宋体" w:eastAsia="宋体" w:cs="宋体"/>
          <w:sz w:val="28"/>
          <w:szCs w:val="28"/>
        </w:rPr>
        <w:t>账</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号： </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账  号：</w:t>
      </w:r>
    </w:p>
    <w:p w14:paraId="0148BE65">
      <w:pPr>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地  址 ： </w:t>
      </w: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 xml:space="preserve">       地  址：</w:t>
      </w:r>
    </w:p>
    <w:p w14:paraId="2FFDFEB4">
      <w:pPr>
        <w:spacing w:line="480" w:lineRule="auto"/>
        <w:rPr>
          <w:rFonts w:hint="eastAsia" w:ascii="宋体" w:hAnsi="宋体" w:eastAsia="宋体" w:cs="宋体"/>
          <w:sz w:val="24"/>
          <w:szCs w:val="32"/>
          <w:highlight w:val="none"/>
        </w:rPr>
      </w:pP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期：    年   月    日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期：  年   月    日</w:t>
      </w:r>
    </w:p>
    <w:p w14:paraId="55C0A22C">
      <w:pPr>
        <w:pStyle w:val="2"/>
        <w:rPr>
          <w:rFonts w:hint="eastAsia" w:ascii="宋体" w:hAnsi="宋体" w:eastAsia="宋体" w:cs="宋体"/>
          <w:sz w:val="24"/>
          <w:szCs w:val="32"/>
          <w:highlight w:val="none"/>
        </w:rPr>
      </w:pPr>
    </w:p>
    <w:p w14:paraId="7266DF26">
      <w:pPr>
        <w:rPr>
          <w:sz w:val="24"/>
          <w:szCs w:val="32"/>
        </w:rPr>
      </w:pP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upperLetter"/>
      <w:pStyle w:val="3"/>
      <w:lvlText w:val="%1、"/>
      <w:lvlJc w:val="left"/>
      <w:pPr>
        <w:tabs>
          <w:tab w:val="left" w:pos="960"/>
        </w:tabs>
        <w:ind w:left="960" w:hanging="324"/>
      </w:pPr>
      <w:rPr>
        <w:rFonts w:hint="eastAsia"/>
      </w:rPr>
    </w:lvl>
  </w:abstractNum>
  <w:abstractNum w:abstractNumId="1">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E87566C"/>
    <w:rsid w:val="0F1166C7"/>
    <w:rsid w:val="0F7B0D6D"/>
    <w:rsid w:val="217979C6"/>
    <w:rsid w:val="2A7D6386"/>
    <w:rsid w:val="499609A6"/>
    <w:rsid w:val="50CD027C"/>
    <w:rsid w:val="5A0F0314"/>
    <w:rsid w:val="624C1682"/>
    <w:rsid w:val="68575EB1"/>
    <w:rsid w:val="71F12C9D"/>
    <w:rsid w:val="7F410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numPr>
        <w:ilvl w:val="0"/>
        <w:numId w:val="1"/>
      </w:numPr>
      <w:jc w:val="center"/>
      <w:outlineLvl w:val="1"/>
    </w:pPr>
    <w:rPr>
      <w:rFonts w:ascii="黑体" w:eastAsia="黑体"/>
      <w:color w:val="000000"/>
      <w:kern w:val="2"/>
      <w:sz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rPr>
      <w:rFonts w:eastAsia="宋体"/>
      <w:kern w:val="2"/>
      <w:sz w:val="21"/>
      <w:szCs w:val="24"/>
      <w:lang w:val="en-US" w:eastAsia="zh-CN" w:bidi="ar-SA"/>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eastAsia="宋体" w:cs="黑体"/>
      <w:sz w:val="21"/>
      <w:szCs w:val="21"/>
      <w:lang w:val="en-US" w:eastAsia="zh-CN" w:bidi="ar-SA"/>
    </w:rPr>
  </w:style>
  <w:style w:type="paragraph" w:customStyle="1" w:styleId="8">
    <w:name w:val="样式 首行缩进:  2 字符"/>
    <w:basedOn w:val="1"/>
    <w:autoRedefine/>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1791</Words>
  <Characters>1809</Characters>
  <Lines>0</Lines>
  <Paragraphs>0</Paragraphs>
  <TotalTime>0</TotalTime>
  <ScaleCrop>false</ScaleCrop>
  <LinksUpToDate>false</LinksUpToDate>
  <CharactersWithSpaces>2207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我曾站在离你最近的天涯1374317821</cp:lastModifiedBy>
  <dcterms:modified xsi:type="dcterms:W3CDTF">2025-08-21T05:51:10Z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07824625653D42109BF8FC798D6FEC39_13</vt:lpwstr>
  </property>
  <property fmtid="{D5CDD505-2E9C-101B-9397-08002B2CF9AE}" pid="4" name="KSOTemplateDocerSaveRecord">
    <vt:lpwstr>eyJoZGlkIjoiMTc2YzZiMzM5Y2EzOTMzOGM0OWQzMWVmMGU3ODI5YzgiLCJ1c2VySWQiOiIzNDcyNjc0In0=</vt:lpwstr>
  </property>
</Properties>
</file>