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版本号：ZZGJ-2025XA06720250808001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长安区杨庄街道中心学校2025年秋季及2026年春季学期营养改善计划-蔬菜、干货、调料采购项目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ZZGJ-2025XA067</w:t>
      </w:r>
      <w:r>
        <w:br/>
      </w:r>
      <w:r>
        <w:br/>
      </w:r>
      <w:r>
        <w:br/>
      </w:r>
    </w:p>
    <w:p>
      <w:pPr>
        <w:pStyle w:val="null3"/>
        <w:jc w:val="center"/>
        <w:outlineLvl w:val="2"/>
      </w:pPr>
      <w:r>
        <w:rPr>
          <w:rFonts w:ascii="仿宋_GB2312" w:hAnsi="仿宋_GB2312" w:cs="仿宋_GB2312" w:eastAsia="仿宋_GB2312"/>
          <w:sz w:val="28"/>
          <w:b/>
        </w:rPr>
        <w:t>西安市长安区杨庄街道中心学校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西安市长安区杨庄街道中心学校</w:t>
      </w:r>
      <w:r>
        <w:rPr>
          <w:rFonts w:ascii="仿宋_GB2312" w:hAnsi="仿宋_GB2312" w:cs="仿宋_GB2312" w:eastAsia="仿宋_GB2312"/>
        </w:rPr>
        <w:t>委托，拟对</w:t>
      </w:r>
      <w:r>
        <w:rPr>
          <w:rFonts w:ascii="仿宋_GB2312" w:hAnsi="仿宋_GB2312" w:cs="仿宋_GB2312" w:eastAsia="仿宋_GB2312"/>
        </w:rPr>
        <w:t>长安区杨庄街道中心学校2025年秋季及2026年春季学期营养改善计划-蔬菜、干货、调料采购项目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长安区杨庄街道中心学校2025年秋季及2026年春季学期营养改善计划-蔬菜、干货、调料采购项目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长安区杨庄街道中心学校2025年秋季及2026年春季学期营养改善计划-蔬菜、干货、调料采购，具体详见竞争性谈判文件要求。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采购包1（长安区杨庄街道中心学校2025年秋季及2026年春季学期营养改善计划-蔬菜、干货、调料采购项目）：属于专门面向中小企业采购。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西安市长安区杨庄街道中心学校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西安市长安区杨庄街道杨庄村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13772134052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采购包1：383,028.67元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西安市长安区杨庄街道中心学校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西安市长安区杨庄街道中心学校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西安市长安区杨庄街道中心学校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长安区杨庄街道中心学校2025年秋季及2026年春季学期营养改善计划-蔬菜、干货、调料采购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383,028.67</w:t>
      </w:r>
    </w:p>
    <w:p>
      <w:pPr>
        <w:pStyle w:val="null3"/>
      </w:pPr>
      <w:r>
        <w:rPr>
          <w:rFonts w:ascii="仿宋_GB2312" w:hAnsi="仿宋_GB2312" w:cs="仿宋_GB2312" w:eastAsia="仿宋_GB2312"/>
        </w:rPr>
        <w:t>采购包最高限价（元）: 383,028.67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长安区杨庄街道中心学校2025年秋季及2026年春季学期营养改善计划-蔬菜、干货、调料采购项目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383,028.67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标的名称：长安区杨庄街道中心学校2025年秋季及2026年春季学期营养改善计划-蔬菜、干货、调料采购项目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both"/>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采购内容包含但不限于以下：蔬菜、干货、调料等。负责日常餐厅原材料的采购和配送。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w:t>
            </w:r>
          </w:p>
          <w:p>
            <w:pPr>
              <w:pStyle w:val="null3"/>
              <w:ind w:firstLine="552"/>
              <w:jc w:val="both"/>
            </w:pPr>
            <w:r>
              <w:rPr>
                <w:rFonts w:ascii="仿宋_GB2312" w:hAnsi="仿宋_GB2312" w:cs="仿宋_GB2312" w:eastAsia="仿宋_GB2312"/>
                <w:sz w:val="21"/>
              </w:rPr>
              <w:t>投标单位每天的供应按学校提出的品种要求和计划数量进行供应。</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类应保持较好的色泽和新鲜度，利用率达到</w:t>
            </w:r>
            <w:r>
              <w:rPr>
                <w:rFonts w:ascii="仿宋_GB2312" w:hAnsi="仿宋_GB2312" w:cs="仿宋_GB2312" w:eastAsia="仿宋_GB2312"/>
                <w:sz w:val="21"/>
              </w:rPr>
              <w:t>95%。严禁采购有害、有毒、腐烂变质、酸败、霉变、生虫、污垢不洁、混有异物或其他感官性状异常的食品。</w:t>
            </w:r>
            <w:r>
              <w:rPr>
                <w:rFonts w:ascii="仿宋_GB2312" w:hAnsi="仿宋_GB2312" w:cs="仿宋_GB2312" w:eastAsia="仿宋_GB2312"/>
                <w:sz w:val="21"/>
              </w:rPr>
              <w:t>蔬菜</w:t>
            </w:r>
            <w:r>
              <w:rPr>
                <w:rFonts w:ascii="仿宋_GB2312" w:hAnsi="仿宋_GB2312" w:cs="仿宋_GB2312" w:eastAsia="仿宋_GB2312"/>
                <w:sz w:val="21"/>
              </w:rPr>
              <w:t>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552"/>
              <w:jc w:val="both"/>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w:t>
            </w:r>
          </w:p>
          <w:p>
            <w:pPr>
              <w:pStyle w:val="null3"/>
              <w:ind w:firstLine="552"/>
              <w:jc w:val="both"/>
            </w:pPr>
            <w:r>
              <w:rPr>
                <w:rFonts w:ascii="仿宋_GB2312" w:hAnsi="仿宋_GB2312" w:cs="仿宋_GB2312" w:eastAsia="仿宋_GB2312"/>
                <w:sz w:val="21"/>
              </w:rPr>
              <w:t>蔬菜包装的容器（框、箱、袋）要求清洁、干燥、牢固、透气，无污染、无异味、无霉变现象。</w:t>
            </w:r>
          </w:p>
          <w:p>
            <w:pPr>
              <w:pStyle w:val="null3"/>
              <w:ind w:firstLine="552"/>
              <w:jc w:val="both"/>
            </w:pPr>
            <w:r>
              <w:rPr>
                <w:rFonts w:ascii="仿宋_GB2312" w:hAnsi="仿宋_GB2312" w:cs="仿宋_GB2312" w:eastAsia="仿宋_GB2312"/>
                <w:sz w:val="21"/>
              </w:rPr>
              <w:t>干货调味品：</w:t>
            </w:r>
          </w:p>
          <w:p>
            <w:pPr>
              <w:pStyle w:val="null3"/>
              <w:ind w:firstLine="552"/>
              <w:jc w:val="both"/>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552"/>
              <w:jc w:val="both"/>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552"/>
              <w:jc w:val="both"/>
            </w:pPr>
            <w:r>
              <w:rPr>
                <w:rFonts w:ascii="仿宋_GB2312" w:hAnsi="仿宋_GB2312" w:cs="仿宋_GB2312" w:eastAsia="仿宋_GB2312"/>
                <w:sz w:val="21"/>
              </w:rPr>
              <w:t>颜色：有光泽无虫蛀，无杂质，颗粒整齐均匀。</w:t>
            </w:r>
          </w:p>
          <w:p>
            <w:pPr>
              <w:pStyle w:val="null3"/>
              <w:ind w:firstLine="552"/>
              <w:jc w:val="both"/>
            </w:pPr>
            <w:r>
              <w:rPr>
                <w:rFonts w:ascii="仿宋_GB2312" w:hAnsi="仿宋_GB2312" w:cs="仿宋_GB2312" w:eastAsia="仿宋_GB2312"/>
                <w:sz w:val="21"/>
              </w:rPr>
              <w:t>味道：纯正无异味。</w:t>
            </w:r>
          </w:p>
          <w:p>
            <w:pPr>
              <w:pStyle w:val="null3"/>
              <w:jc w:val="both"/>
            </w:pPr>
            <w:r>
              <w:rPr>
                <w:rFonts w:ascii="仿宋_GB2312" w:hAnsi="仿宋_GB2312" w:cs="仿宋_GB2312" w:eastAsia="仿宋_GB2312"/>
                <w:sz w:val="21"/>
                <w:b/>
              </w:rPr>
              <w:t>四、服务要求：</w:t>
            </w:r>
          </w:p>
          <w:p>
            <w:pPr>
              <w:pStyle w:val="null3"/>
              <w:ind w:firstLine="552"/>
              <w:jc w:val="both"/>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552"/>
              <w:jc w:val="both"/>
            </w:pPr>
            <w:r>
              <w:rPr>
                <w:rFonts w:ascii="仿宋_GB2312" w:hAnsi="仿宋_GB2312" w:cs="仿宋_GB2312" w:eastAsia="仿宋_GB2312"/>
                <w:sz w:val="21"/>
                <w:b/>
              </w:rPr>
              <w:t>2、服务地点：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结算方式：银行转账。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结算单位：由采购人负责结算，乙方开具等额发票交采购人。</w:t>
            </w:r>
          </w:p>
          <w:p>
            <w:pPr>
              <w:pStyle w:val="null3"/>
              <w:ind w:firstLine="420"/>
              <w:jc w:val="both"/>
            </w:pPr>
            <w:r>
              <w:rPr>
                <w:rFonts w:ascii="仿宋_GB2312" w:hAnsi="仿宋_GB2312" w:cs="仿宋_GB2312" w:eastAsia="仿宋_GB2312"/>
                <w:sz w:val="21"/>
              </w:rPr>
              <w:t>4、供应数量：每天的配送数量以经采购人确认的数量为准，最终据实结算。</w:t>
            </w:r>
          </w:p>
          <w:p>
            <w:pPr>
              <w:pStyle w:val="null3"/>
              <w:ind w:firstLine="422"/>
              <w:jc w:val="both"/>
            </w:pPr>
            <w:r>
              <w:rPr>
                <w:rFonts w:ascii="仿宋_GB2312" w:hAnsi="仿宋_GB2312" w:cs="仿宋_GB2312" w:eastAsia="仿宋_GB2312"/>
                <w:sz w:val="21"/>
                <w:b/>
              </w:rPr>
              <w:t>5、核心产品：醋</w:t>
            </w:r>
            <w:r>
              <w:rPr>
                <w:rFonts w:ascii="仿宋_GB2312" w:hAnsi="仿宋_GB2312" w:cs="仿宋_GB2312" w:eastAsia="仿宋_GB2312"/>
                <w:sz w:val="21"/>
                <w:b/>
              </w:rPr>
              <w:t>、酱油、盐</w:t>
            </w:r>
          </w:p>
          <w:p>
            <w:pPr>
              <w:pStyle w:val="null3"/>
              <w:ind w:firstLine="420"/>
              <w:jc w:val="both"/>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%最高的，即为评标基准价。</w:t>
            </w:r>
          </w:p>
          <w:p>
            <w:pPr>
              <w:pStyle w:val="null3"/>
              <w:jc w:val="both"/>
            </w:pPr>
            <w:r>
              <w:rPr>
                <w:rFonts w:ascii="仿宋_GB2312" w:hAnsi="仿宋_GB2312" w:cs="仿宋_GB2312" w:eastAsia="仿宋_GB2312"/>
                <w:sz w:val="21"/>
              </w:rPr>
              <w:t>例：货物类采购供应商报价为</w:t>
            </w:r>
            <w:r>
              <w:rPr>
                <w:rFonts w:ascii="仿宋_GB2312" w:hAnsi="仿宋_GB2312" w:cs="仿宋_GB2312" w:eastAsia="仿宋_GB2312"/>
                <w:sz w:val="21"/>
              </w:rPr>
              <w:t>10%，货物价=（1-10%）*平均零售价(单位为%)</w:t>
            </w:r>
          </w:p>
          <w:p>
            <w:pPr>
              <w:pStyle w:val="null3"/>
              <w:jc w:val="both"/>
            </w:pPr>
            <w:r>
              <w:rPr>
                <w:rFonts w:ascii="仿宋_GB2312" w:hAnsi="仿宋_GB2312" w:cs="仿宋_GB2312" w:eastAsia="仿宋_GB2312"/>
                <w:sz w:val="21"/>
                <w:b/>
              </w:rPr>
              <w:t>六、其他：</w:t>
            </w:r>
          </w:p>
          <w:p>
            <w:pPr>
              <w:pStyle w:val="null3"/>
              <w:ind w:firstLine="480"/>
              <w:jc w:val="both"/>
            </w:pPr>
            <w:r>
              <w:rPr>
                <w:rFonts w:ascii="仿宋_GB2312" w:hAnsi="仿宋_GB2312" w:cs="仿宋_GB2312" w:eastAsia="仿宋_GB2312"/>
                <w:sz w:val="21"/>
                <w:b/>
              </w:rPr>
              <w:t>1、质量</w:t>
            </w:r>
            <w:r>
              <w:rPr>
                <w:rFonts w:ascii="仿宋_GB2312" w:hAnsi="仿宋_GB2312" w:cs="仿宋_GB2312" w:eastAsia="仿宋_GB2312"/>
                <w:sz w:val="21"/>
                <w:b/>
              </w:rPr>
              <w:t>（验收）</w:t>
            </w:r>
            <w:r>
              <w:rPr>
                <w:rFonts w:ascii="仿宋_GB2312" w:hAnsi="仿宋_GB2312" w:cs="仿宋_GB2312" w:eastAsia="仿宋_GB2312"/>
                <w:sz w:val="21"/>
                <w:b/>
              </w:rPr>
              <w:t>标准：</w:t>
            </w:r>
          </w:p>
          <w:p>
            <w:pPr>
              <w:pStyle w:val="null3"/>
              <w:ind w:firstLine="480"/>
              <w:jc w:val="both"/>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80"/>
              <w:jc w:val="both"/>
            </w:pPr>
            <w:r>
              <w:rPr>
                <w:rFonts w:ascii="仿宋_GB2312" w:hAnsi="仿宋_GB2312" w:cs="仿宋_GB2312" w:eastAsia="仿宋_GB2312"/>
                <w:sz w:val="21"/>
              </w:rPr>
              <w:t>1.所配送的食品原料应符合相应的食品安全国家标准要求。</w:t>
            </w:r>
          </w:p>
          <w:p>
            <w:pPr>
              <w:pStyle w:val="null3"/>
              <w:ind w:firstLine="480"/>
              <w:jc w:val="both"/>
            </w:pPr>
            <w:r>
              <w:rPr>
                <w:rFonts w:ascii="仿宋_GB2312" w:hAnsi="仿宋_GB2312" w:cs="仿宋_GB2312" w:eastAsia="仿宋_GB2312"/>
                <w:sz w:val="21"/>
              </w:rPr>
              <w:t>2.预包装类食品原料应具有SC标记。</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.蔬菜类必须保证新鲜无污染，农药残留达到GB2763-2012标准规定。</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.调味品、干杂等必须具有“SC”食品质量认证标志。</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.豆制品、半成品必须具有“SC”食品质量安全认证。</w:t>
            </w:r>
          </w:p>
          <w:p>
            <w:pPr>
              <w:pStyle w:val="null3"/>
              <w:ind w:firstLine="480"/>
              <w:jc w:val="both"/>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w:t>
            </w:r>
            <w:r>
              <w:rPr>
                <w:rFonts w:ascii="仿宋_GB2312" w:hAnsi="仿宋_GB2312" w:cs="仿宋_GB2312" w:eastAsia="仿宋_GB2312"/>
                <w:sz w:val="21"/>
              </w:rPr>
              <w:t>若验收不合格，乙方必须及时换货，保证学校学生的正常食用，否则将终止其供货合同，并赔偿采购人的损失。</w:t>
            </w:r>
          </w:p>
          <w:p>
            <w:pPr>
              <w:pStyle w:val="null3"/>
              <w:ind w:firstLine="480"/>
              <w:jc w:val="both"/>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ind w:firstLine="420"/>
              <w:jc w:val="left"/>
            </w:pPr>
            <w:r>
              <w:rPr>
                <w:rFonts w:ascii="仿宋_GB2312" w:hAnsi="仿宋_GB2312" w:cs="仿宋_GB2312" w:eastAsia="仿宋_GB2312"/>
                <w:sz w:val="21"/>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