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版本号：HXGJXM2025-ZC-CS108020250807001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2025年学生公寓管理及校园后勤服务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HXGJXM2025-ZC-CS1080</w:t>
      </w:r>
      <w:r>
        <w:br/>
      </w:r>
      <w:r>
        <w:br/>
      </w:r>
      <w:r>
        <w:br/>
      </w:r>
    </w:p>
    <w:p>
      <w:pPr>
        <w:pStyle w:val="null3"/>
        <w:jc w:val="center"/>
        <w:outlineLvl w:val="2"/>
      </w:pPr>
      <w:r>
        <w:rPr>
          <w:rFonts w:ascii="仿宋_GB2312" w:hAnsi="仿宋_GB2312" w:cs="仿宋_GB2312" w:eastAsia="仿宋_GB2312"/>
          <w:sz w:val="28"/>
          <w:b/>
        </w:rPr>
        <w:t>西安市长安区第六中学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西安市长安区第六中学</w:t>
      </w:r>
      <w:r>
        <w:rPr>
          <w:rFonts w:ascii="仿宋_GB2312" w:hAnsi="仿宋_GB2312" w:cs="仿宋_GB2312" w:eastAsia="仿宋_GB2312"/>
        </w:rPr>
        <w:t>委托，拟对</w:t>
      </w:r>
      <w:r>
        <w:rPr>
          <w:rFonts w:ascii="仿宋_GB2312" w:hAnsi="仿宋_GB2312" w:cs="仿宋_GB2312" w:eastAsia="仿宋_GB2312"/>
        </w:rPr>
        <w:t>2025年学生公寓管理及校园后勤服务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2025年学生公寓管理及校园后勤服务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2025年学生公寓管理及校园后勤服务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采购包1（2025年学生公寓管理及校园后勤服务）：属于专门面向中小企业采购。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西安市长安区第六中学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西安市长安区引镇北街23号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周雪莹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13572892099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宋文倩、康敏茹、张艳萍、刘锦江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西安市长安区第六中学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西安市长安区第六中学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西安市长安区第六中学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联系人：宋文倩、康敏茹、张艳萍、刘锦江</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 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2025年学生公寓管理及校园后勤服务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2025年学生公寓管理及校园后勤服务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标的名称：2025年学生公寓管理及校园后勤服务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64"/>
              <w:gridCol w:w="374"/>
              <w:gridCol w:w="828"/>
              <w:gridCol w:w="770"/>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岗位</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人数</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资格要求</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公寓教官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具备退役军</w:t>
                  </w:r>
                  <w:r>
                    <w:br/>
                  </w:r>
                  <w:r>
                    <w:rPr>
                      <w:rFonts w:ascii="仿宋_GB2312" w:hAnsi="仿宋_GB2312" w:cs="仿宋_GB2312" w:eastAsia="仿宋_GB2312"/>
                      <w:sz w:val="20"/>
                      <w:color w:val="000000"/>
                    </w:rPr>
                    <w:t>人证书</w:t>
                  </w:r>
                </w:p>
              </w:tc>
              <w:tc>
                <w:tcPr>
                  <w:tcW w:type="dxa" w:w="7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含社会保险</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宿舍管理员</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高中及以上文化50岁以内</w:t>
                  </w:r>
                </w:p>
              </w:tc>
              <w:tc>
                <w:tcPr>
                  <w:tcW w:type="dxa" w:w="770"/>
                  <w:vMerge/>
                  <w:tcBorders>
                    <w:top w:val="none" w:color="000000" w:sz="4"/>
                    <w:left w:val="none" w:color="000000" w:sz="4"/>
                    <w:bottom w:val="single" w:color="000000" w:sz="4"/>
                    <w:right w:val="single" w:color="000000" w:sz="4"/>
                  </w:tcBorders>
                </w:tc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维修组长</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具备物业维修</w:t>
                  </w:r>
                  <w:r>
                    <w:br/>
                  </w:r>
                  <w:r>
                    <w:rPr>
                      <w:rFonts w:ascii="仿宋_GB2312" w:hAnsi="仿宋_GB2312" w:cs="仿宋_GB2312" w:eastAsia="仿宋_GB2312"/>
                      <w:sz w:val="20"/>
                      <w:color w:val="000000"/>
                    </w:rPr>
                    <w:t>3年经验</w:t>
                  </w:r>
                </w:p>
              </w:tc>
              <w:tc>
                <w:tcPr>
                  <w:tcW w:type="dxa" w:w="7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含意外保险</w:t>
                  </w:r>
                  <w:r>
                    <w:br/>
                  </w:r>
                  <w:r>
                    <w:rPr>
                      <w:rFonts w:ascii="仿宋_GB2312" w:hAnsi="仿宋_GB2312" w:cs="仿宋_GB2312" w:eastAsia="仿宋_GB2312"/>
                      <w:sz w:val="20"/>
                      <w:color w:val="000000"/>
                    </w:rPr>
                    <w:t>和工服</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水电工维修</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具备电工证/</w:t>
                  </w:r>
                  <w:r>
                    <w:br/>
                  </w:r>
                  <w:r>
                    <w:rPr>
                      <w:rFonts w:ascii="仿宋_GB2312" w:hAnsi="仿宋_GB2312" w:cs="仿宋_GB2312" w:eastAsia="仿宋_GB2312"/>
                      <w:sz w:val="20"/>
                      <w:color w:val="000000"/>
                    </w:rPr>
                    <w:t>操作证</w:t>
                  </w:r>
                </w:p>
              </w:tc>
              <w:tc>
                <w:tcPr>
                  <w:tcW w:type="dxa" w:w="770"/>
                  <w:vMerge/>
                  <w:tcBorders>
                    <w:top w:val="none" w:color="000000" w:sz="4"/>
                    <w:left w:val="none" w:color="000000" w:sz="4"/>
                    <w:bottom w:val="single" w:color="000000" w:sz="4"/>
                    <w:right w:val="single" w:color="000000" w:sz="4"/>
                  </w:tcBorders>
                </w:tc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消毒工</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具备消毒员证</w:t>
                  </w:r>
                </w:p>
              </w:tc>
              <w:tc>
                <w:tcPr>
                  <w:tcW w:type="dxa" w:w="770"/>
                  <w:vMerge/>
                  <w:tcBorders>
                    <w:top w:val="none" w:color="000000" w:sz="4"/>
                    <w:left w:val="none" w:color="000000" w:sz="4"/>
                    <w:bottom w:val="single" w:color="000000" w:sz="4"/>
                    <w:right w:val="single" w:color="000000" w:sz="4"/>
                  </w:tcBorders>
                </w:tc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后勤杂工</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年龄60岁以内</w:t>
                  </w:r>
                </w:p>
              </w:tc>
              <w:tc>
                <w:tcPr>
                  <w:tcW w:type="dxa" w:w="770"/>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color w:val="000000"/>
              </w:rPr>
              <w:t>一、服务内容</w:t>
            </w:r>
          </w:p>
          <w:p>
            <w:pPr>
              <w:pStyle w:val="null3"/>
              <w:ind w:firstLine="480"/>
              <w:jc w:val="both"/>
            </w:pPr>
            <w:r>
              <w:rPr>
                <w:rFonts w:ascii="仿宋_GB2312" w:hAnsi="仿宋_GB2312" w:cs="仿宋_GB2312" w:eastAsia="仿宋_GB2312"/>
                <w:sz w:val="24"/>
                <w:color w:val="000000"/>
              </w:rPr>
              <w:t>1、学生公寓服务</w:t>
            </w:r>
          </w:p>
          <w:p>
            <w:pPr>
              <w:pStyle w:val="null3"/>
              <w:ind w:firstLine="480"/>
              <w:jc w:val="both"/>
            </w:pPr>
            <w:r>
              <w:rPr>
                <w:rFonts w:ascii="仿宋_GB2312" w:hAnsi="仿宋_GB2312" w:cs="仿宋_GB2312" w:eastAsia="仿宋_GB2312"/>
                <w:sz w:val="24"/>
                <w:color w:val="000000"/>
              </w:rPr>
              <w:t>1.1负责学生公寓安全、纪律24小时巡逻值守｡</w:t>
            </w:r>
          </w:p>
          <w:p>
            <w:pPr>
              <w:pStyle w:val="null3"/>
              <w:ind w:firstLine="480"/>
              <w:jc w:val="both"/>
            </w:pPr>
            <w:r>
              <w:rPr>
                <w:rFonts w:ascii="仿宋_GB2312" w:hAnsi="仿宋_GB2312" w:cs="仿宋_GB2312" w:eastAsia="仿宋_GB2312"/>
                <w:sz w:val="24"/>
                <w:color w:val="000000"/>
              </w:rPr>
              <w:t>1.2按照《教官岗位职责》《宿管员岗位职责》《中学生公寓违禁品检查收缴条例》《中学生公寓限带生活用品及体育用品的细则》《中学生公寓公共安全及损坏设施检查制度》《内务军事化管理标准细则》《中学生公寓安全纪律内务卫生量化考核扣加分细则》之规定。</w:t>
            </w:r>
          </w:p>
          <w:p>
            <w:pPr>
              <w:pStyle w:val="null3"/>
              <w:ind w:firstLine="480"/>
              <w:jc w:val="both"/>
            </w:pPr>
            <w:r>
              <w:rPr>
                <w:rFonts w:ascii="仿宋_GB2312" w:hAnsi="仿宋_GB2312" w:cs="仿宋_GB2312" w:eastAsia="仿宋_GB2312"/>
                <w:sz w:val="24"/>
                <w:color w:val="000000"/>
              </w:rPr>
              <w:t>1.3实行24小时管理;</w:t>
            </w:r>
          </w:p>
          <w:p>
            <w:pPr>
              <w:pStyle w:val="null3"/>
              <w:ind w:firstLine="480"/>
              <w:jc w:val="both"/>
            </w:pPr>
            <w:r>
              <w:rPr>
                <w:rFonts w:ascii="仿宋_GB2312" w:hAnsi="仿宋_GB2312" w:cs="仿宋_GB2312" w:eastAsia="仿宋_GB2312"/>
                <w:sz w:val="24"/>
                <w:color w:val="000000"/>
              </w:rPr>
              <w:t>1.4学生公寓之间来往人群的疏导24小时定时巡逻｡</w:t>
            </w:r>
          </w:p>
          <w:p>
            <w:pPr>
              <w:pStyle w:val="null3"/>
              <w:ind w:firstLine="480"/>
              <w:jc w:val="both"/>
            </w:pPr>
            <w:r>
              <w:rPr>
                <w:rFonts w:ascii="仿宋_GB2312" w:hAnsi="仿宋_GB2312" w:cs="仿宋_GB2312" w:eastAsia="仿宋_GB2312"/>
                <w:sz w:val="24"/>
                <w:color w:val="000000"/>
              </w:rPr>
              <w:t>供水系统维修</w:t>
            </w:r>
          </w:p>
          <w:p>
            <w:pPr>
              <w:pStyle w:val="null3"/>
              <w:ind w:firstLine="480"/>
              <w:jc w:val="both"/>
            </w:pPr>
            <w:r>
              <w:rPr>
                <w:rFonts w:ascii="仿宋_GB2312" w:hAnsi="仿宋_GB2312" w:cs="仿宋_GB2312" w:eastAsia="仿宋_GB2312"/>
                <w:sz w:val="24"/>
                <w:color w:val="000000"/>
              </w:rPr>
              <w:t>2.1日常巡检：每日对校区内的供水管道、阀门、水表、水龙头等设施进行巡查，重点检查是否有漏水、堵塞、损坏等情况，确保供水通畅。</w:t>
            </w:r>
          </w:p>
          <w:p>
            <w:pPr>
              <w:pStyle w:val="null3"/>
              <w:ind w:firstLine="480"/>
              <w:jc w:val="both"/>
            </w:pPr>
            <w:r>
              <w:rPr>
                <w:rFonts w:ascii="仿宋_GB2312" w:hAnsi="仿宋_GB2312" w:cs="仿宋_GB2312" w:eastAsia="仿宋_GB2312"/>
                <w:sz w:val="24"/>
                <w:color w:val="000000"/>
              </w:rPr>
              <w:t>2.2故障维修：接到供水故障报修后，维修人员将在 1 小时内到达现场。对于管道破裂、水龙头损坏等问题，小修在 2 小时内完成；对于较为复杂的管道改造、大面积漏水等情况，明确维修方案后 48 小时内完成。</w:t>
            </w:r>
          </w:p>
          <w:p>
            <w:pPr>
              <w:pStyle w:val="null3"/>
              <w:ind w:firstLine="480"/>
              <w:jc w:val="both"/>
            </w:pPr>
            <w:r>
              <w:rPr>
                <w:rFonts w:ascii="仿宋_GB2312" w:hAnsi="仿宋_GB2312" w:cs="仿宋_GB2312" w:eastAsia="仿宋_GB2312"/>
                <w:sz w:val="24"/>
                <w:color w:val="000000"/>
              </w:rPr>
              <w:t>2.3水质保障：定期对水箱、蓄水池进行清洗和消毒，每季度不少于 1 次，确保水质符合国家饮用水标准。</w:t>
            </w:r>
          </w:p>
          <w:p>
            <w:pPr>
              <w:pStyle w:val="null3"/>
              <w:ind w:firstLine="480"/>
              <w:jc w:val="both"/>
            </w:pPr>
            <w:r>
              <w:rPr>
                <w:rFonts w:ascii="仿宋_GB2312" w:hAnsi="仿宋_GB2312" w:cs="仿宋_GB2312" w:eastAsia="仿宋_GB2312"/>
                <w:sz w:val="24"/>
                <w:color w:val="000000"/>
              </w:rPr>
              <w:t>3、供电系统维修</w:t>
            </w:r>
          </w:p>
          <w:p>
            <w:pPr>
              <w:pStyle w:val="null3"/>
              <w:ind w:firstLine="480"/>
              <w:jc w:val="both"/>
            </w:pPr>
            <w:r>
              <w:rPr>
                <w:rFonts w:ascii="仿宋_GB2312" w:hAnsi="仿宋_GB2312" w:cs="仿宋_GB2312" w:eastAsia="仿宋_GB2312"/>
                <w:sz w:val="24"/>
                <w:color w:val="000000"/>
              </w:rPr>
              <w:t>3.1线路与设备检查：每周对高低压配电房、配电箱、电缆线路、开关插座等进行检查，查看有无过热、老化、松动等现象，及时处理安全隐患。</w:t>
            </w:r>
          </w:p>
          <w:p>
            <w:pPr>
              <w:pStyle w:val="null3"/>
              <w:ind w:firstLine="480"/>
              <w:jc w:val="both"/>
            </w:pPr>
            <w:r>
              <w:rPr>
                <w:rFonts w:ascii="仿宋_GB2312" w:hAnsi="仿宋_GB2312" w:cs="仿宋_GB2312" w:eastAsia="仿宋_GB2312"/>
                <w:sz w:val="24"/>
                <w:color w:val="000000"/>
              </w:rPr>
              <w:t>3.2故障处理：出现停电、短路、跳闸等供电故障时，维修人员 30 分钟内响应，一般故障 2 小时内修复；涉及变压器、高压线路等重大故障，在确保安全的前提下尽快抢修，并及时向师生通报进展。</w:t>
            </w:r>
          </w:p>
          <w:p>
            <w:pPr>
              <w:pStyle w:val="null3"/>
              <w:ind w:firstLine="480"/>
              <w:jc w:val="both"/>
            </w:pPr>
            <w:r>
              <w:rPr>
                <w:rFonts w:ascii="仿宋_GB2312" w:hAnsi="仿宋_GB2312" w:cs="仿宋_GB2312" w:eastAsia="仿宋_GB2312"/>
                <w:sz w:val="24"/>
                <w:color w:val="000000"/>
              </w:rPr>
              <w:t>3.3电器维修：负责学生公寓和教学楼内公共区域的电器维修，如照明灯具、电扇、饮水机等，接到报修后 24 小时内完成维修或更换。</w:t>
            </w:r>
          </w:p>
          <w:p>
            <w:pPr>
              <w:pStyle w:val="null3"/>
              <w:ind w:firstLine="480"/>
              <w:jc w:val="both"/>
            </w:pPr>
            <w:r>
              <w:rPr>
                <w:rFonts w:ascii="仿宋_GB2312" w:hAnsi="仿宋_GB2312" w:cs="仿宋_GB2312" w:eastAsia="仿宋_GB2312"/>
                <w:sz w:val="24"/>
                <w:color w:val="000000"/>
              </w:rPr>
              <w:t>4、公共区域水电设施维护</w:t>
            </w:r>
          </w:p>
          <w:p>
            <w:pPr>
              <w:pStyle w:val="null3"/>
              <w:ind w:firstLine="480"/>
              <w:jc w:val="both"/>
            </w:pPr>
            <w:r>
              <w:rPr>
                <w:rFonts w:ascii="仿宋_GB2312" w:hAnsi="仿宋_GB2312" w:cs="仿宋_GB2312" w:eastAsia="仿宋_GB2312"/>
                <w:sz w:val="24"/>
                <w:color w:val="000000"/>
              </w:rPr>
              <w:t>4.1定期对学生公寓和教学楼的公共卫生间、走廊、楼梯间等区域的水电设施进行维护，确保冲水装置、照明设备等正常运行。</w:t>
            </w:r>
          </w:p>
          <w:p>
            <w:pPr>
              <w:pStyle w:val="null3"/>
              <w:ind w:firstLine="480"/>
              <w:jc w:val="both"/>
            </w:pPr>
            <w:r>
              <w:rPr>
                <w:rFonts w:ascii="仿宋_GB2312" w:hAnsi="仿宋_GB2312" w:cs="仿宋_GB2312" w:eastAsia="仿宋_GB2312"/>
                <w:sz w:val="24"/>
                <w:color w:val="000000"/>
              </w:rPr>
              <w:t>4.2每学期对水电管网进行一次全面排查，对老旧管道、线路进行评估，必要时进行更换或改造，提高水电系统的稳定性和安全性。</w:t>
            </w:r>
          </w:p>
          <w:p>
            <w:pPr>
              <w:pStyle w:val="null3"/>
              <w:ind w:firstLine="480"/>
              <w:jc w:val="both"/>
            </w:pPr>
            <w:r>
              <w:rPr>
                <w:rFonts w:ascii="仿宋_GB2312" w:hAnsi="仿宋_GB2312" w:cs="仿宋_GB2312" w:eastAsia="仿宋_GB2312"/>
                <w:sz w:val="24"/>
                <w:color w:val="000000"/>
              </w:rPr>
              <w:t>5、消毒范围</w:t>
            </w:r>
          </w:p>
          <w:p>
            <w:pPr>
              <w:pStyle w:val="null3"/>
              <w:ind w:firstLine="480"/>
              <w:jc w:val="both"/>
            </w:pPr>
            <w:r>
              <w:rPr>
                <w:rFonts w:ascii="仿宋_GB2312" w:hAnsi="仿宋_GB2312" w:cs="仿宋_GB2312" w:eastAsia="仿宋_GB2312"/>
                <w:sz w:val="24"/>
                <w:color w:val="000000"/>
              </w:rPr>
              <w:t>5.1学生公寓宿舍：包括宿舍内的地面、桌面、床铺、门窗把手、卫生间（含马桶、洗手池）等物体表面，以及宿舍楼道、楼梯扶手、电梯轿厢及按钮等公共区域。</w:t>
            </w:r>
          </w:p>
          <w:p>
            <w:pPr>
              <w:pStyle w:val="null3"/>
              <w:ind w:firstLine="480"/>
              <w:jc w:val="both"/>
            </w:pPr>
            <w:r>
              <w:rPr>
                <w:rFonts w:ascii="仿宋_GB2312" w:hAnsi="仿宋_GB2312" w:cs="仿宋_GB2312" w:eastAsia="仿宋_GB2312"/>
                <w:sz w:val="24"/>
                <w:color w:val="000000"/>
              </w:rPr>
              <w:t>5.2教学楼公共区域：涵盖教室地面、课桌椅、黑板、门窗把手、走廊、楼梯扶手、电梯、卫生间、饮水机周围等区域。</w:t>
            </w:r>
          </w:p>
          <w:p>
            <w:pPr>
              <w:pStyle w:val="null3"/>
              <w:ind w:firstLine="480"/>
              <w:jc w:val="both"/>
            </w:pPr>
            <w:r>
              <w:rPr>
                <w:rFonts w:ascii="仿宋_GB2312" w:hAnsi="仿宋_GB2312" w:cs="仿宋_GB2312" w:eastAsia="仿宋_GB2312"/>
                <w:sz w:val="24"/>
                <w:color w:val="000000"/>
              </w:rPr>
              <w:t>6、消毒范围</w:t>
            </w:r>
          </w:p>
          <w:p>
            <w:pPr>
              <w:pStyle w:val="null3"/>
              <w:ind w:firstLine="480"/>
              <w:jc w:val="both"/>
            </w:pPr>
            <w:r>
              <w:rPr>
                <w:rFonts w:ascii="仿宋_GB2312" w:hAnsi="仿宋_GB2312" w:cs="仿宋_GB2312" w:eastAsia="仿宋_GB2312"/>
                <w:sz w:val="24"/>
                <w:color w:val="000000"/>
              </w:rPr>
              <w:t>6.1学生公寓宿舍：包括宿舍内的地面、桌面、床铺、门窗把手、卫生间（含马桶、洗手池）等物体表面，以及宿舍楼道、楼梯扶手、电梯轿厢及按钮等公共区域。</w:t>
            </w:r>
          </w:p>
          <w:p>
            <w:pPr>
              <w:pStyle w:val="null3"/>
              <w:ind w:firstLine="480"/>
              <w:jc w:val="both"/>
            </w:pPr>
            <w:r>
              <w:rPr>
                <w:rFonts w:ascii="仿宋_GB2312" w:hAnsi="仿宋_GB2312" w:cs="仿宋_GB2312" w:eastAsia="仿宋_GB2312"/>
                <w:sz w:val="24"/>
                <w:color w:val="000000"/>
              </w:rPr>
              <w:t>6.2教学楼公共区域：涵盖教室地面、课桌椅、黑板、门窗把手、走廊、楼梯扶手、电梯、卫生间、饮水机周围等区域。6.3消毒频率</w:t>
            </w:r>
          </w:p>
          <w:p>
            <w:pPr>
              <w:pStyle w:val="null3"/>
              <w:ind w:firstLine="480"/>
              <w:jc w:val="both"/>
            </w:pPr>
            <w:r>
              <w:rPr>
                <w:rFonts w:ascii="仿宋_GB2312" w:hAnsi="仿宋_GB2312" w:cs="仿宋_GB2312" w:eastAsia="仿宋_GB2312"/>
                <w:sz w:val="24"/>
                <w:color w:val="000000"/>
              </w:rPr>
              <w:t>学生公寓宿舍：每日对公共区域进行 1 次消毒，每周配合宿舍卫生检查对宿舍内进行 1 次全面消毒。</w:t>
            </w:r>
          </w:p>
          <w:p>
            <w:pPr>
              <w:pStyle w:val="null3"/>
              <w:ind w:firstLine="480"/>
              <w:jc w:val="both"/>
            </w:pPr>
            <w:r>
              <w:rPr>
                <w:rFonts w:ascii="仿宋_GB2312" w:hAnsi="仿宋_GB2312" w:cs="仿宋_GB2312" w:eastAsia="仿宋_GB2312"/>
                <w:sz w:val="24"/>
                <w:color w:val="000000"/>
              </w:rPr>
              <w:t>6.4教学楼公共区域：每日放学后进行 1 次彻底消毒，上课期间对电梯按钮、门把手等高频接触部位每 2 小时进行 1 次擦拭消毒。</w:t>
            </w:r>
          </w:p>
          <w:p>
            <w:pPr>
              <w:pStyle w:val="null3"/>
              <w:ind w:firstLine="480"/>
              <w:jc w:val="both"/>
            </w:pPr>
            <w:r>
              <w:rPr>
                <w:rFonts w:ascii="仿宋_GB2312" w:hAnsi="仿宋_GB2312" w:cs="仿宋_GB2312" w:eastAsia="仿宋_GB2312"/>
                <w:sz w:val="24"/>
                <w:color w:val="000000"/>
              </w:rPr>
              <w:t>7、综合管理</w:t>
            </w:r>
          </w:p>
          <w:p>
            <w:pPr>
              <w:pStyle w:val="null3"/>
              <w:ind w:firstLine="480"/>
              <w:jc w:val="both"/>
            </w:pPr>
            <w:r>
              <w:rPr>
                <w:rFonts w:ascii="仿宋_GB2312" w:hAnsi="仿宋_GB2312" w:cs="仿宋_GB2312" w:eastAsia="仿宋_GB2312"/>
                <w:sz w:val="24"/>
                <w:color w:val="000000"/>
              </w:rPr>
              <w:t>7.1档案管理——建立物业管理档案,包括服务记录及基础档案,包括与校园物业相关联的水､电线路,管网､管井､给排水的施工档案;</w:t>
            </w:r>
          </w:p>
          <w:p>
            <w:pPr>
              <w:pStyle w:val="null3"/>
              <w:ind w:firstLine="480"/>
              <w:jc w:val="both"/>
            </w:pPr>
            <w:r>
              <w:rPr>
                <w:rFonts w:ascii="仿宋_GB2312" w:hAnsi="仿宋_GB2312" w:cs="仿宋_GB2312" w:eastAsia="仿宋_GB2312"/>
                <w:sz w:val="24"/>
                <w:color w:val="000000"/>
              </w:rPr>
              <w:t>7.2 服务沟通——建立客服服务中心,作为24小时服务平台,接受使用部门(人)的服务需求(包括咨询和投诉),经常与学校沟通,提供优质的物业管理服务;</w:t>
            </w:r>
          </w:p>
          <w:p>
            <w:pPr>
              <w:pStyle w:val="null3"/>
              <w:ind w:firstLine="480"/>
              <w:jc w:val="both"/>
            </w:pPr>
            <w:r>
              <w:rPr>
                <w:rFonts w:ascii="仿宋_GB2312" w:hAnsi="仿宋_GB2312" w:cs="仿宋_GB2312" w:eastAsia="仿宋_GB2312"/>
                <w:sz w:val="24"/>
                <w:color w:val="000000"/>
              </w:rPr>
              <w:t>7.3 服务监督——接受校方职能部门和师生的外部监督,建立自身内部服务检查监督体系,不断完善管理服务;</w:t>
            </w:r>
          </w:p>
          <w:p>
            <w:pPr>
              <w:pStyle w:val="null3"/>
              <w:ind w:firstLine="480"/>
              <w:jc w:val="both"/>
            </w:pPr>
            <w:r>
              <w:rPr>
                <w:rFonts w:ascii="仿宋_GB2312" w:hAnsi="仿宋_GB2312" w:cs="仿宋_GB2312" w:eastAsia="仿宋_GB2312"/>
                <w:sz w:val="24"/>
                <w:color w:val="000000"/>
              </w:rPr>
              <w:t>7.4服务报告——定期向学校报告服务情况,做好服务工作的同时有责任向校方提供合理化建议,以提高管理效率和服务质量｡</w:t>
            </w:r>
          </w:p>
          <w:p>
            <w:pPr>
              <w:pStyle w:val="null3"/>
              <w:numPr>
                <w:ilvl w:val="0"/>
                <w:numId w:val="1"/>
              </w:numPr>
              <w:jc w:val="both"/>
            </w:pPr>
            <w:r>
              <w:rPr>
                <w:rFonts w:ascii="仿宋_GB2312" w:hAnsi="仿宋_GB2312" w:cs="仿宋_GB2312" w:eastAsia="仿宋_GB2312"/>
                <w:sz w:val="28"/>
              </w:rPr>
              <w:t>服务标准</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学生公寓</w:t>
            </w:r>
            <w:r>
              <w:rPr>
                <w:rFonts w:ascii="仿宋_GB2312" w:hAnsi="仿宋_GB2312" w:cs="仿宋_GB2312" w:eastAsia="仿宋_GB2312"/>
                <w:sz w:val="24"/>
                <w:color w:val="000000"/>
              </w:rPr>
              <w:t>服务</w:t>
            </w:r>
          </w:p>
          <w:p>
            <w:pPr>
              <w:pStyle w:val="null3"/>
              <w:ind w:firstLine="480"/>
              <w:jc w:val="both"/>
            </w:pPr>
            <w:r>
              <w:rPr>
                <w:rFonts w:ascii="仿宋_GB2312" w:hAnsi="仿宋_GB2312" w:cs="仿宋_GB2312" w:eastAsia="仿宋_GB2312"/>
                <w:sz w:val="24"/>
                <w:color w:val="000000"/>
              </w:rPr>
              <w:t>(1)质量目标要求</w:t>
            </w:r>
          </w:p>
          <w:p>
            <w:pPr>
              <w:pStyle w:val="null3"/>
              <w:ind w:firstLine="480"/>
              <w:jc w:val="both"/>
            </w:pPr>
            <w:r>
              <w:rPr>
                <w:rFonts w:ascii="仿宋_GB2312" w:hAnsi="仿宋_GB2312" w:cs="仿宋_GB2312" w:eastAsia="仿宋_GB2312"/>
                <w:sz w:val="24"/>
                <w:color w:val="000000"/>
              </w:rPr>
              <w:t>a.依托行业标准,根据校方管理规定与服务要求,制订切实可行的学生公寓服务整体方案和应急预案,突发事件反应迅速,预案处置有力;</w:t>
            </w:r>
          </w:p>
          <w:p>
            <w:pPr>
              <w:pStyle w:val="null3"/>
              <w:ind w:firstLine="480"/>
              <w:jc w:val="both"/>
            </w:pPr>
            <w:r>
              <w:rPr>
                <w:rFonts w:ascii="仿宋_GB2312" w:hAnsi="仿宋_GB2312" w:cs="仿宋_GB2312" w:eastAsia="仿宋_GB2312"/>
                <w:sz w:val="24"/>
                <w:color w:val="000000"/>
              </w:rPr>
              <w:t>b.依法办事,文明检查,严格管理,保障学校财产和师生人身不受侵害,维护正常的教学､科研､生活秩序;</w:t>
            </w:r>
          </w:p>
          <w:p>
            <w:pPr>
              <w:pStyle w:val="null3"/>
              <w:ind w:firstLine="480"/>
              <w:jc w:val="both"/>
            </w:pPr>
            <w:r>
              <w:rPr>
                <w:rFonts w:ascii="仿宋_GB2312" w:hAnsi="仿宋_GB2312" w:cs="仿宋_GB2312" w:eastAsia="仿宋_GB2312"/>
                <w:sz w:val="24"/>
                <w:color w:val="000000"/>
              </w:rPr>
              <w:t>c.全年无责任事故和责任案件发生,师生对公寓安全保卫管理工作普遍认可,有安全感,对校园学生公寓服务满意率在95%以上｡</w:t>
            </w:r>
          </w:p>
          <w:p>
            <w:pPr>
              <w:pStyle w:val="null3"/>
              <w:ind w:firstLine="480"/>
              <w:jc w:val="both"/>
            </w:pPr>
            <w:r>
              <w:rPr>
                <w:rFonts w:ascii="仿宋_GB2312" w:hAnsi="仿宋_GB2312" w:cs="仿宋_GB2312" w:eastAsia="仿宋_GB2312"/>
                <w:sz w:val="24"/>
                <w:color w:val="000000"/>
              </w:rPr>
              <w:t>(2)服务质量要求</w:t>
            </w:r>
          </w:p>
          <w:p>
            <w:pPr>
              <w:pStyle w:val="null3"/>
              <w:ind w:firstLine="480"/>
              <w:jc w:val="both"/>
            </w:pPr>
            <w:r>
              <w:rPr>
                <w:rFonts w:ascii="仿宋_GB2312" w:hAnsi="仿宋_GB2312" w:cs="仿宋_GB2312" w:eastAsia="仿宋_GB2312"/>
                <w:sz w:val="24"/>
                <w:color w:val="000000"/>
              </w:rPr>
              <w:t>a.树立“服务第一,用户至上”的思想,保障校方与师生人身和财产安全;</w:t>
            </w:r>
          </w:p>
          <w:p>
            <w:pPr>
              <w:pStyle w:val="null3"/>
              <w:ind w:firstLine="480"/>
              <w:jc w:val="both"/>
            </w:pPr>
            <w:r>
              <w:rPr>
                <w:rFonts w:ascii="仿宋_GB2312" w:hAnsi="仿宋_GB2312" w:cs="仿宋_GB2312" w:eastAsia="仿宋_GB2312"/>
                <w:sz w:val="24"/>
                <w:color w:val="000000"/>
              </w:rPr>
              <w:t>b.管理要坚持原则､工作慎密严谨;服务要以人为本､主动热情;处理问题要高度警惕､有理有节;</w:t>
            </w:r>
          </w:p>
          <w:p>
            <w:pPr>
              <w:pStyle w:val="null3"/>
              <w:ind w:firstLine="480"/>
              <w:jc w:val="both"/>
            </w:pPr>
            <w:r>
              <w:rPr>
                <w:rFonts w:ascii="仿宋_GB2312" w:hAnsi="仿宋_GB2312" w:cs="仿宋_GB2312" w:eastAsia="仿宋_GB2312"/>
                <w:sz w:val="24"/>
                <w:color w:val="000000"/>
              </w:rPr>
              <w:t>c.坚持原则,针对不同服务对象,区别对待,灵活操作,妥善处理;</w:t>
            </w:r>
          </w:p>
          <w:p>
            <w:pPr>
              <w:pStyle w:val="null3"/>
              <w:ind w:firstLine="480"/>
              <w:jc w:val="both"/>
            </w:pPr>
            <w:r>
              <w:rPr>
                <w:rFonts w:ascii="仿宋_GB2312" w:hAnsi="仿宋_GB2312" w:cs="仿宋_GB2312" w:eastAsia="仿宋_GB2312"/>
                <w:sz w:val="24"/>
                <w:color w:val="000000"/>
              </w:rPr>
              <w:t>d.上岗人员仪表整洁,统一着装,挂牌上岗,规范管理,礼貌待人。</w:t>
            </w:r>
          </w:p>
          <w:p>
            <w:pPr>
              <w:pStyle w:val="null3"/>
              <w:ind w:firstLine="480"/>
              <w:jc w:val="both"/>
            </w:pPr>
            <w:r>
              <w:rPr>
                <w:rFonts w:ascii="仿宋_GB2312" w:hAnsi="仿宋_GB2312" w:cs="仿宋_GB2312" w:eastAsia="仿宋_GB2312"/>
                <w:sz w:val="24"/>
                <w:color w:val="000000"/>
              </w:rPr>
              <w:t>2.消毒流程与标准</w:t>
            </w:r>
          </w:p>
          <w:p>
            <w:pPr>
              <w:pStyle w:val="null3"/>
              <w:ind w:firstLine="480"/>
              <w:jc w:val="both"/>
            </w:pPr>
            <w:r>
              <w:rPr>
                <w:rFonts w:ascii="仿宋_GB2312" w:hAnsi="仿宋_GB2312" w:cs="仿宋_GB2312" w:eastAsia="仿宋_GB2312"/>
                <w:sz w:val="24"/>
                <w:color w:val="000000"/>
              </w:rPr>
              <w:t>（1）准备工作：消毒人员佩戴好口罩、手套、防护服等防护用品，准备好消毒器械（如喷雾器、抹布等）和消毒剂（选用含氯消毒剂，有效氯浓度为 500mg/L-1000mg/L）。</w:t>
            </w:r>
          </w:p>
          <w:p>
            <w:pPr>
              <w:pStyle w:val="null3"/>
              <w:ind w:firstLine="480"/>
              <w:jc w:val="both"/>
            </w:pPr>
            <w:r>
              <w:rPr>
                <w:rFonts w:ascii="仿宋_GB2312" w:hAnsi="仿宋_GB2312" w:cs="仿宋_GB2312" w:eastAsia="仿宋_GB2312"/>
                <w:sz w:val="24"/>
                <w:color w:val="000000"/>
              </w:rPr>
              <w:t>（2）消毒操作：采用喷洒、擦拭等方式进行消毒，确保消毒部位全覆盖、无死角。对于卫生间、垃圾桶等易滋生细菌的区域，适当增加消毒剂浓度和消毒时间。</w:t>
            </w:r>
          </w:p>
          <w:p>
            <w:pPr>
              <w:pStyle w:val="null3"/>
              <w:ind w:firstLine="480"/>
              <w:jc w:val="both"/>
            </w:pPr>
            <w:r>
              <w:rPr>
                <w:rFonts w:ascii="仿宋_GB2312" w:hAnsi="仿宋_GB2312" w:cs="仿宋_GB2312" w:eastAsia="仿宋_GB2312"/>
                <w:sz w:val="24"/>
                <w:color w:val="000000"/>
              </w:rPr>
              <w:t>（3）后续处理：消毒完成后，关闭门窗 30 分钟以上，再进行通风换气。对消毒器械进行清洗和消毒，妥善处理废弃的防护用品和消毒剂容器。</w:t>
            </w:r>
          </w:p>
          <w:p>
            <w:pPr>
              <w:pStyle w:val="null3"/>
              <w:ind w:firstLine="480"/>
              <w:jc w:val="both"/>
            </w:pPr>
            <w:r>
              <w:rPr>
                <w:rFonts w:ascii="仿宋_GB2312" w:hAnsi="仿宋_GB2312" w:cs="仿宋_GB2312" w:eastAsia="仿宋_GB2312"/>
                <w:sz w:val="24"/>
                <w:color w:val="000000"/>
              </w:rPr>
              <w:t>（4）记录存档：每次消毒后，详细记录消毒时间、地点、消毒人员、消毒剂种类及浓度等信息，建立消毒档案，便于追溯和检查。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服务期两年，合同一年一签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按月支付，次月15日支付上个月物业服务费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(3)提供递交响应文件截止之日前一年内任意一个月的依法缴纳税收的完税证明，完税证明应有税务机关或代收机关的公章或业务专用章。依法免税或无须缴纳税收的供应商，应提供相应证明文件；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报价表 供应商承诺书.docx 响应文件封面 残疾人福利性单位声明函 服务方案 标的清单 商务条款偏离表及投入人员汇总.docx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服务方案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商务应答表 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针对本项目实际情况所拟定的服务方案，不同类型（秩序服务、安全服务、维修服务、消毒服务、后勤服务）的服务内容有相应的针对性方案，对不同类型服务内容的工作难点和要点有明确的理解。 1、对项目需求完全掌握，服务理念新颖与目标明确，方案针对性强，切实可行，能完全贴合本项目实际需求，得20分； 2、对项目需求基本掌握，服务理念与目标较明确，方案有一定针对性，基本可行，比较符合本项目实际需求，得15分； 3、对项目需求分析简单，服务理念与目标内容笼统，方案合理性、可行性一般，针对性不强，得10分； 4、对项目需求分析简单，方案内容简单无针对性，得5分。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1、项目经理（2分）：项目经理具有全日制专科及以上学历，一年以上工作经验得2分。未提供不得分。（备注：须提供毕业证、身份证。） 2、服务人员（6分）：提供人员配备表及相关经验证明材料。 （1）人员满足项目需求，组织架构完整，岗位设置合理、明确，投入人员专业性、经验性强，对本项目有针对性，得6分； （2）人员满足项目需求，组织架构基本完整，岗位设置基本合理，能够基本满足本项目采购要求，得4分； （3）人员满足项目需求，组织架构完善程度一般，人员岗位设置合理性一般，人员专业性、经验性一般，得2分；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拟投入设备配备方案</w:t>
            </w:r>
          </w:p>
        </w:tc>
        <w:tc>
          <w:tcPr>
            <w:tcW w:type="dxa" w:w="2492"/>
          </w:tcPr>
          <w:p>
            <w:pPr>
              <w:pStyle w:val="null3"/>
            </w:pPr>
            <w:r>
              <w:rPr>
                <w:rFonts w:ascii="仿宋_GB2312" w:hAnsi="仿宋_GB2312" w:cs="仿宋_GB2312" w:eastAsia="仿宋_GB2312"/>
              </w:rPr>
              <w:t>提供拟投入的各类机械及工具方案。 1、方案详细，设备种类齐全，数量充足，完全满足工作需要，得10分； 2、方案较详细，设备配备较齐全，基本满足工作需要，得7分； 3、方案较详细，内容有一定针对性，但投入设备不够全面，得4分； 4、方案内容、配备设备单一，无针对性，得2分。未提供不得分。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针对本项目可能出现的紧急情况，提供安全应急预案。（包括但不限于：①突发疾病/传染病②防汛应急预案③火灾消防应急预案④防暑降温应急预案⑤斗殴等暴力事件的处理应急预案⑥盗窃突发事件应急预案⑦突发停电应急预案⑧突发性水管爆裂应急预案⑨高空坠物应急预案。） 1、方案内容完善不缺项，针对性强，应急措施科学合理，可行性强，得10分； 2、方案内容完善不缺项，针对性较强，应急措施合理性、可行性较强，得8分； 3、方案内容缺1项，已提供方案内容针对性、可行性强，得6分； 4、方案内容缺1项，已提供方案内容简单笼统，无针对性，得5分； 5、方案内容缺2-3（含）项，已提供方案内容针对性、可行性强，得4分； 6、方案内容缺2-3（含）项，已提供方案内容简单笼统，无针对性，得3分； 7、方案内容缺4项，已提供方案内容针对性、可行性强，得2分； 8、方案内容缺4项，已提供方案内容简单笼统，无针对性，得1分； 方案内容缺5项及以上或未提供不得分。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对投入本项目劳务人员进行岗位培训。 1、培训方案完整、培训计划详细，针对性强、可行性强，得5分； 2、培训方案基本完整，基本具有可操作性，得3分； 3、培训方案内容简单笼统，无针对性，得1分。未提供不得分。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考核制度</w:t>
            </w:r>
          </w:p>
        </w:tc>
        <w:tc>
          <w:tcPr>
            <w:tcW w:type="dxa" w:w="2492"/>
          </w:tcPr>
          <w:p>
            <w:pPr>
              <w:pStyle w:val="null3"/>
            </w:pPr>
            <w:r>
              <w:rPr>
                <w:rFonts w:ascii="仿宋_GB2312" w:hAnsi="仿宋_GB2312" w:cs="仿宋_GB2312" w:eastAsia="仿宋_GB2312"/>
              </w:rPr>
              <w:t>1、根据有关法律法规和实际情况制定《请销假管理制度及考核办法》。 ①制度完善、考核细则明确，合理可行，得5分； ②制度较完善，考核细则较明确，基本可行，得3分； ③制度及考核细则内容简单笼统，无针对性，得1分。未提供不得分。 2、根据有关法律法规和各岗位实际情况制定《岗位考核细则》。 ①制度完善、考核细则明确，合理可行，得5分； ②制度较完善，考核细则较明确，基本可行，得3分； ③制度及考核细则内容简单笼统，无针对性，得1分。未提供不得分。 3、根据有关法律法规和实际情况制定适合本单位工作的《工作人员奖惩制度》。 ①制度完善、考核细则明确，合理可行，得5分； ②制度较完善，考核细则较明确，基本可行，得3分； ③制度及奖惩细则内容简单笼统，无针对性，得1分。未提供不得分。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1、建议内容科学合理，针对性、可行性强，得6分； 2、建议内容较合理，有一定针对性和可行性，得4分； 3、建议内容简单笼统，无针对性，得2分。未提供不得分。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1、承诺按照采购人要求及标准，切实履行服务义务，做好相关服务工作，得1分。未提供不得分。 2、承诺接受采购人对服务的考核、监督及管理，得1分。未提供不得分。 3、承诺以采购人对服务质量的满意度程度并加以改进，确保服务工作的优质高效，得1分。未提供不得分。 4、提供针对本项目的具体服务承诺（包含但不限于针对本项目的各项服务质量目标、保障措施及服务人员入场计划等内容），各管理项目指标达到国家相关标准。得3分。承诺内容不全或未提供不得分。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2022年8月1日至今（以合同签订时间为准），供应商具有类似项目业绩的，每提供一份计2分，满分10分。备注：响应文件中提供合同复印件加盖公章。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3、磋商报价得分=（磋商基准价/最终磋商报价）×10的公式计算得分。 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