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版本号：HRDL-FW[2025]-148-06720250807001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210国道西安过境公路项目长安段安置用地组卷报批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HRDL-FW[2025]-148-067</w:t>
      </w:r>
      <w:r>
        <w:br/>
      </w:r>
      <w:r>
        <w:br/>
      </w:r>
      <w:r>
        <w:br/>
      </w:r>
    </w:p>
    <w:p>
      <w:pPr>
        <w:pStyle w:val="null3"/>
        <w:jc w:val="center"/>
        <w:outlineLvl w:val="2"/>
      </w:pPr>
      <w:r>
        <w:rPr>
          <w:rFonts w:ascii="仿宋_GB2312" w:hAnsi="仿宋_GB2312" w:cs="仿宋_GB2312" w:eastAsia="仿宋_GB2312"/>
          <w:sz w:val="28"/>
          <w:b/>
        </w:rPr>
        <w:t>西安市长安区交通运输局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西安市长安区交通运输局</w:t>
      </w:r>
      <w:r>
        <w:rPr>
          <w:rFonts w:ascii="仿宋_GB2312" w:hAnsi="仿宋_GB2312" w:cs="仿宋_GB2312" w:eastAsia="仿宋_GB2312"/>
        </w:rPr>
        <w:t>委托，拟对</w:t>
      </w:r>
      <w:r>
        <w:rPr>
          <w:rFonts w:ascii="仿宋_GB2312" w:hAnsi="仿宋_GB2312" w:cs="仿宋_GB2312" w:eastAsia="仿宋_GB2312"/>
        </w:rPr>
        <w:t>210国道西安过境公路项目长安段安置用地组卷报批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HRDL-FW[2025]-148-067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210国道西安过境公路项目长安段安置用地组卷报批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服务内容为210国道西安过境公路项目长安段安置用地组卷报批等相关工作，办理各区街道、村组签字盖章土地征收相关材料，并按照主线与安置用地情况编写西安市以及长安区政府部门所需文件，最终上报到市政府审批，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采购包1（210国道西安过境公路项目长安段安置用地组卷报批）：属于专门面向中小企业采购。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3、税收缴纳证明：提供2025年1月至今已缴纳的连续3个月纳税证明或完税证明，依法免税的单位应提供相关证明材料。供应商需在项目电子化交易系统中按要求上传相应证明文件并进行电子签章。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连续3个月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pPr>
      <w:r>
        <w:rPr>
          <w:rFonts w:ascii="仿宋_GB2312" w:hAnsi="仿宋_GB2312" w:cs="仿宋_GB2312" w:eastAsia="仿宋_GB2312"/>
        </w:rPr>
        <w:t>9、是否接受联合体投标：本项目不接受联合体投标，供应商需在项目电子化交易系统中按要求上传相应证明文件并进行电子签章。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西安市长安区青年街42号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029-85292304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西安市雁塔区南二环东段南侧凯森盛世1号A座25层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18691821087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代理服务费收费标准：1、招标代理服务费的收取按照国家计委颁布的《招标代理服务收费管理暂行办法》（计价格[2002]1980号）和（发改办价格[2003]857号）中服务类收费标准收取，不足5000.00元按5000.00元收取。 2、成交供应商在领取中标通知书时向采购代理机构支付招标代理服务费。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西安市长安区交通运输局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联系人：曹军</w:t>
      </w:r>
    </w:p>
    <w:p>
      <w:pPr>
        <w:pStyle w:val="null3"/>
      </w:pPr>
      <w:r>
        <w:rPr>
          <w:rFonts w:ascii="仿宋_GB2312" w:hAnsi="仿宋_GB2312" w:cs="仿宋_GB2312" w:eastAsia="仿宋_GB2312"/>
        </w:rPr>
        <w:t>联系电话：18691821087</w:t>
      </w:r>
    </w:p>
    <w:p>
      <w:pPr>
        <w:pStyle w:val="null3"/>
      </w:pPr>
      <w:r>
        <w:rPr>
          <w:rFonts w:ascii="仿宋_GB2312" w:hAnsi="仿宋_GB2312" w:cs="仿宋_GB2312" w:eastAsia="仿宋_GB2312"/>
        </w:rPr>
        <w:t>地址：西安市雁塔区南二环东段南侧凯森盛世1号A座25层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服务内容为210国道西安过境公路项目长安段安置用地组卷报批等相关工作，办理各区街道、村组签字盖章土地征收相关材料，并按照主线与安置用地情况编写西安市以及长安区政府部门所需文件，最终上报到市政府审批，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210国道西安过境公路项目长安段安置用地组卷报批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标的名称：210国道西安过境公路项目长安段安置用地组卷报批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一、项目依据</w:t>
            </w:r>
          </w:p>
          <w:p>
            <w:pPr>
              <w:pStyle w:val="null3"/>
              <w:jc w:val="both"/>
            </w:pPr>
            <w:r>
              <w:rPr>
                <w:rFonts w:ascii="仿宋_GB2312" w:hAnsi="仿宋_GB2312" w:cs="仿宋_GB2312" w:eastAsia="仿宋_GB2312"/>
                <w:sz w:val="21"/>
              </w:rPr>
              <w:t>1.1建设依据：《</w:t>
            </w:r>
            <w:r>
              <w:rPr>
                <w:rFonts w:ascii="仿宋_GB2312" w:hAnsi="仿宋_GB2312" w:cs="仿宋_GB2312" w:eastAsia="仿宋_GB2312"/>
                <w:sz w:val="21"/>
              </w:rPr>
              <w:t>210国道西安过境公路长安区境内征地拆迁建设环境保障实施协议书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1.2工作依据：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1）《中华人民共和国土地管理法》；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2）《中华人民共和国土地管理法实施条例》；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3）《关于进一步做好用地用海要素保障的通知》（自然资发〔2023〕89号）；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4）《自然资源部关于规范报部审查的建设项目用地报批材料和审查报告文本格式的函》（自然资办函〔2022〕819号）；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5）《限制用地项目目录》；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6）《禁止用地项目目录》；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7）《关于启用2022年度国土变更调查成果的通知》（陕自然资调查发〔2023〕17号）;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）关于印发规范土地征收拆迁安置储备供应工作实施办法（试行）的通知》（市政办发〔</w:t>
            </w:r>
            <w:r>
              <w:rPr>
                <w:rFonts w:ascii="仿宋_GB2312" w:hAnsi="仿宋_GB2312" w:cs="仿宋_GB2312" w:eastAsia="仿宋_GB2312"/>
                <w:sz w:val="21"/>
              </w:rPr>
              <w:t>2023〕15号）。</w:t>
            </w:r>
          </w:p>
          <w:p>
            <w:pPr>
              <w:pStyle w:val="null3"/>
              <w:jc w:val="both"/>
            </w:pPr>
            <w:r>
              <w:rPr>
                <w:rFonts w:ascii="仿宋_GB2312" w:hAnsi="仿宋_GB2312" w:cs="仿宋_GB2312" w:eastAsia="仿宋_GB2312"/>
                <w:sz w:val="21"/>
                <w:b/>
              </w:rPr>
              <w:t>二、服务内容</w:t>
            </w:r>
          </w:p>
          <w:p>
            <w:pPr>
              <w:pStyle w:val="null3"/>
              <w:jc w:val="both"/>
            </w:pPr>
            <w:r>
              <w:rPr>
                <w:rFonts w:ascii="仿宋_GB2312" w:hAnsi="仿宋_GB2312" w:cs="仿宋_GB2312" w:eastAsia="仿宋_GB2312"/>
              </w:rPr>
              <w:t>本项目服务内容为</w:t>
            </w:r>
            <w:r>
              <w:rPr>
                <w:rFonts w:ascii="仿宋_GB2312" w:hAnsi="仿宋_GB2312" w:cs="仿宋_GB2312" w:eastAsia="仿宋_GB2312"/>
              </w:rPr>
              <w:t>210</w:t>
            </w:r>
            <w:r>
              <w:rPr>
                <w:rFonts w:ascii="仿宋_GB2312" w:hAnsi="仿宋_GB2312" w:cs="仿宋_GB2312" w:eastAsia="仿宋_GB2312"/>
              </w:rPr>
              <w:t>国道西安过境公路项目长安段安置用地组卷报批等相关工作，办理各区街道、村组签字盖章土地征收相关材料，并按照主线与安置用地情况编写西安市以及长安区政府部门所需文件，最终上报到市政府审批</w:t>
            </w:r>
            <w:r>
              <w:rPr>
                <w:rFonts w:ascii="仿宋_GB2312" w:hAnsi="仿宋_GB2312" w:cs="仿宋_GB2312" w:eastAsia="仿宋_GB2312"/>
              </w:rPr>
              <w:t>。</w:t>
            </w:r>
          </w:p>
          <w:p>
            <w:pPr>
              <w:pStyle w:val="null3"/>
              <w:jc w:val="both"/>
            </w:pPr>
            <w:r>
              <w:rPr>
                <w:rFonts w:ascii="仿宋_GB2312" w:hAnsi="仿宋_GB2312" w:cs="仿宋_GB2312" w:eastAsia="仿宋_GB2312"/>
                <w:sz w:val="21"/>
                <w:b/>
              </w:rPr>
              <w:t>三、服务期限</w:t>
            </w:r>
          </w:p>
          <w:p>
            <w:pPr>
              <w:pStyle w:val="null3"/>
              <w:jc w:val="left"/>
            </w:pPr>
            <w:r>
              <w:rPr>
                <w:rFonts w:ascii="仿宋_GB2312" w:hAnsi="仿宋_GB2312" w:cs="仿宋_GB2312" w:eastAsia="仿宋_GB2312"/>
                <w:sz w:val="21"/>
              </w:rPr>
              <w:t>甲方下达任务后</w:t>
            </w:r>
            <w:r>
              <w:rPr>
                <w:rFonts w:ascii="仿宋_GB2312" w:hAnsi="仿宋_GB2312" w:cs="仿宋_GB2312" w:eastAsia="仿宋_GB2312"/>
                <w:sz w:val="21"/>
              </w:rPr>
              <w:t>90</w:t>
            </w:r>
            <w:r>
              <w:rPr>
                <w:rFonts w:ascii="仿宋_GB2312" w:hAnsi="仿宋_GB2312" w:cs="仿宋_GB2312" w:eastAsia="仿宋_GB2312"/>
                <w:sz w:val="21"/>
              </w:rPr>
              <w:t>日内完成，如遇不可抗拒因素，时限相应顺延。</w:t>
            </w:r>
          </w:p>
          <w:p>
            <w:pPr>
              <w:pStyle w:val="null3"/>
              <w:jc w:val="both"/>
            </w:pPr>
            <w:r>
              <w:rPr>
                <w:rFonts w:ascii="仿宋_GB2312" w:hAnsi="仿宋_GB2312" w:cs="仿宋_GB2312" w:eastAsia="仿宋_GB2312"/>
                <w:sz w:val="21"/>
                <w:b/>
              </w:rPr>
              <w:t>四、质量要求</w:t>
            </w:r>
          </w:p>
          <w:p>
            <w:pPr>
              <w:pStyle w:val="null3"/>
              <w:jc w:val="both"/>
            </w:pPr>
            <w:r>
              <w:rPr>
                <w:rFonts w:ascii="仿宋_GB2312" w:hAnsi="仿宋_GB2312" w:cs="仿宋_GB2312" w:eastAsia="仿宋_GB2312"/>
                <w:sz w:val="21"/>
              </w:rPr>
              <w:t>符合国家相关法律、法规、技术规范和自然资源部现行的标准、规范等要求，以及陕西省自然资源厅对建设项目安置用地的有关规定。</w:t>
            </w:r>
          </w:p>
          <w:p>
            <w:pPr>
              <w:pStyle w:val="null3"/>
              <w:jc w:val="both"/>
            </w:pPr>
            <w:r>
              <w:rPr>
                <w:rFonts w:ascii="仿宋_GB2312" w:hAnsi="仿宋_GB2312" w:cs="仿宋_GB2312" w:eastAsia="仿宋_GB2312"/>
                <w:sz w:val="21"/>
                <w:b/>
              </w:rPr>
              <w:t>五、安全目标</w:t>
            </w:r>
          </w:p>
          <w:p>
            <w:pPr>
              <w:pStyle w:val="null3"/>
              <w:jc w:val="both"/>
            </w:pPr>
            <w:r>
              <w:rPr>
                <w:rFonts w:ascii="仿宋_GB2312" w:hAnsi="仿宋_GB2312" w:cs="仿宋_GB2312" w:eastAsia="仿宋_GB2312"/>
                <w:sz w:val="21"/>
              </w:rPr>
              <w:t>在合同期间出现的安全问题由投标人自行负责，与发包人无关。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甲方下达任务后90日内完成，如遇不可抗拒因素，时限相应顺延。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1、服务内容完成后先由乙方进行自检，自检合格后邀请甲方进行验收。 2、乙方向甲方提交服务实施过程中的所有资料，以便甲方日后管理和维护。 3、验收依据： （1）磋商文件、响应文件、澄清表（函）； （2）本合同及附件文本； （3）国家相应的标准、规范。 4、乙方应向甲方交付最终成果纸质版8份、电子版1份。</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按照安置用地组卷要求，编制完成西安市以及长安区相关政府部门所需文件，甲方收到安置用地批复文件后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 3、供应商的磋商报价是供应商响应磋商项目要求的全部工作内容的价格体现，包括供应商完成本项目所需的直接费、间接费、利润、税金及其它相关的一切费用；包括但不限于乙方完成本项目的人工费、报批费、评估费、服务费、管理费、验收费、资料费、采购代理服务费、利润和税金等全部费用；在提供服务的过程中的任何遗漏，均由成交供应商免费提供，采购人将不再支付任何费用。 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提供2025年1月至今已缴纳的连续3个月纳税证明或完税证明，依法免税的单位应提供相关证明材料。供应商需在项目电子化交易系统中按要求上传相应证明文件并进行电子签章。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连续3个月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供应商认为认为有必要补充说明的材料.docx 供应商应提交的相关资格证明材料.docx 中小企业声明函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法定代表人直接负责投标的，须在磋商文件中提供法定代表人身份证明；法定代表人授权代表负责投标的，须在磋商文件中提供法定代表人授权委托书</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供应商认为认为有必要补充说明的材料.docx 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的特点提供总体的项目实施方案（包括但不限于：①土地报批政策解读；②服务总体设想及目标；③土地报批工作流程；④土地报批组卷资料的编制提交等），根据方案的完整性、可实施性、针对性综合评审。 二、评审标准： 1、完整性：方案须全面，对评审内容中的各项要求有详细描述及说明； 2、可实施性：切合本项目实际情况，实施步骤清晰、合理； 3、针对性：方案能够紧扣项目实际情况，内容科学合理。 三、赋分标准： ①土地报批政策解读：每完全满足一项评审标准得1分，每基本满足一项评审标准得0.5分，其他得0分，本项满分3分； ②服务总体设想及目标：每完全满足一项评审标准得1分，每基本满足一项评审标准得0.5分，其他得0分，本项满分3分； ③土地报批工作流程：每完全满足一项评审标准得1分，每基本满足一项评审标准得0.5分，其他得0分，本项满分3分； ④土地报批资料的编制提交：每完全满足一项评审标准得1分，每基本满足一项评审标准得0.5分，其他得0分，本项满分3分。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针对本项目提出关键点的分析和策略控制方案，方案内容包含：①项目关键点分析；②策略控制的具体措施。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①项目关键点分析：每完全满足一项评审标准得2 分，每基本满足一项评审标准得1分，其他得0分，本项满分6分； ②策略控制的具体措施：每完全满足一项评审标准得2分，每基本满足一项评审标准得1分，其他得0 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针对本项目提出进度控制方案，内容包含：①成果交付进度控制方案；②服务期进度控制方案。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①成果交付进度控制方案：每完全满足一项评审标准得2分，每基本满足一项评审标准得1分，其他得0分，本项满分6分； ②服务期进度控制方案：每完全满足一项评审标准得2分，每基本满足一项评审标准得1分，其他得0分，本项满分6分。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针对本项目提出详细的质量、进度、安全保证措施，方案包含：①质量保证措施；②进度保证措施；③安全保证措施。 二、评审标准 1、完整性：内容须全面，对评审内容中的各项要求有详细描述及说明； 2、可实施性：切合本项目实际情况，实施步骤清晰、合理； 3、针对性：内容能够紧扣项目实际情况，科学合理。 三、赋分标准 ①质量保证措施：每完全满足一项评审标准得1分，每基本满足一项评审标准得0.5分，其他得0分，本项满分3分； ②进度保证措施：每完全满足一项评审标准得1分，每基本满足一项评审标准得0.5分，其他得0分，本项满分3分； ③安全保证措施：每完全满足一项评审标准得1分，每基本满足一项评审标准得0.5分，其他得0分，本项满分3分。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外业调查 及收集方案</w:t>
            </w:r>
          </w:p>
        </w:tc>
        <w:tc>
          <w:tcPr>
            <w:tcW w:type="dxa" w:w="2492"/>
          </w:tcPr>
          <w:p>
            <w:pPr>
              <w:pStyle w:val="null3"/>
            </w:pPr>
            <w:r>
              <w:rPr>
                <w:rFonts w:ascii="仿宋_GB2312" w:hAnsi="仿宋_GB2312" w:cs="仿宋_GB2312" w:eastAsia="仿宋_GB2312"/>
              </w:rPr>
              <w:t>一、评审内容 针对本项目提供外业调查及收集方案，方案包含：①外业调查相关设备仪器（需提供配置清单）。②调查流程及调查数据收集。 二、评审标准 1、完整性：方案全面，梳理出项目关键点，对评审内容中的各项要求有详细描述及说明； 2、合理性：切合本项目实际情况； 3、针对性：方案能够紧扣项目实际情况，内容科学合理。 三、赋分标准 ①外业调查相关设备仪器（需提供配置清单）：每完全满足一项评审标准得 2分，每基本满足一项评审标准得1分，其他得0分，本项满分6分； ②调查流程及调查数据收集：每完全满足一项评审标准得2分，每基本满足一项评审标准得1分，其他得0分，本项满分6分。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成果编制方案</w:t>
            </w:r>
          </w:p>
        </w:tc>
        <w:tc>
          <w:tcPr>
            <w:tcW w:type="dxa" w:w="2492"/>
          </w:tcPr>
          <w:p>
            <w:pPr>
              <w:pStyle w:val="null3"/>
            </w:pPr>
            <w:r>
              <w:rPr>
                <w:rFonts w:ascii="仿宋_GB2312" w:hAnsi="仿宋_GB2312" w:cs="仿宋_GB2312" w:eastAsia="仿宋_GB2312"/>
              </w:rPr>
              <w:t>一、评审内容 针对本项目提出的成果编制方案：①提交的相关组卷资料必须政策法规要求及国家、行业及陕西省相关标准、规范的规定；②提交的相关组卷资料通过专家评审。 二、评审标准 1、完整性：方案全面，梳理出项目关键点，对评审内容中的各项要求有详细描述及说明； 2、可实施性：切合本项目实际情况，实施步骤清晰、合理； 3、针对性：方案能够紧扣项目实际情况，内容科学合理。 三、赋分标准 ①提交的相关组卷资料必须政策法规要求及国家、行业及陕西省相关标准、规范的规定；每完全满足一项评审标准得2分，每基本满足一项评审标准得1分，其他得0分，本项满分6分； ②提交的相关组卷资料通过专家评审。 每完全满足一项评审标准得2分，每基本满足一项评审标准得1分，其他得0分，本项满分6分；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资料收集及批复方案</w:t>
            </w:r>
          </w:p>
        </w:tc>
        <w:tc>
          <w:tcPr>
            <w:tcW w:type="dxa" w:w="2492"/>
          </w:tcPr>
          <w:p>
            <w:pPr>
              <w:pStyle w:val="null3"/>
            </w:pPr>
            <w:r>
              <w:rPr>
                <w:rFonts w:ascii="仿宋_GB2312" w:hAnsi="仿宋_GB2312" w:cs="仿宋_GB2312" w:eastAsia="仿宋_GB2312"/>
              </w:rPr>
              <w:t>一、评审内容 针对本项目提供资料收集及批复方案，方案包含：①土地报批全过程资料收集方案；②取得相关部门正式批复文件的方法及措施。 二、评审标准 1、完整性：方案全面，梳理出项目关键点，对评审内容中的各项要求有详细描述及说明；2、可实施性：切合本项目实际情况，实施步骤清晰、合理；3、针对性：方案能够紧扣项目实际情况，内容科学合理。 三、赋分标准 ①土地报批全过程资料收集方案：每完全满足一项评审标准得1分，每基本满足一项评审标准得0.5分，其他得0分，本项满分3分； ②取得相关部门正式批复文件的方法及措施：每完全满足一项评审标准得1分，每基本满足一项评审标准得0.5分，其他得0 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一、评审内容 投标供应商针对本项目提供人员保障方案。方案包含：①管理机构及岗位职责制度；②专业技术人员投入。 二、评审标准 1、完整性：方案全面，对评审内容中的各项要求有详细描述及说明； 2、可实施性：切合本项目实际情况，实施步骤清晰、合理； 3、针对性：方案能够紧扣项目实际情况，内容科学合理。 三、赋分依据 ①管理机构及岗位职责制度：每完全满足一个评审标准得1分，每基本满足一项评审标准得0.5分，其他得0分，满分3分； ②专业技术人员投入：每完全满足一个评审标准得 1分，每基本满足一项评审标准得0.5分，其他得0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1、承诺：接受采购人对服务的考核、监督及管理，并对服务质量加以改进，确保服务工作的优质高效得3分，承诺一般，有缺陷得1分。其他或无承诺不得分。 2、承诺：若人员因事、病不能及时上岗时，请调其他服务人员补充，确保各项服务工作正常进行得3 分，承诺一般，有缺陷得1分。其他或无承诺不得分。 3、承诺：供应商应当对涉及采购人的信息严格保密，未经采购人许可，不得将信息泄露给第三方。否则，采购人保留追究法律责任的权利得3分，承诺一般，有缺陷得1分。其他或无承诺不得分。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详见附件：供应商认为认为有必要补充说明的材料.docx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