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版本号：AYZB-2025-05320250930001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长安区市级农产品检验检测项目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AYZB-2025-053</w:t>
      </w:r>
      <w:r>
        <w:br/>
      </w:r>
      <w:r>
        <w:br/>
      </w:r>
      <w:r>
        <w:br/>
      </w:r>
    </w:p>
    <w:p>
      <w:pPr>
        <w:pStyle w:val="null3"/>
        <w:jc w:val="center"/>
        <w:outlineLvl w:val="2"/>
      </w:pPr>
      <w:r>
        <w:rPr>
          <w:rFonts w:ascii="仿宋_GB2312" w:hAnsi="仿宋_GB2312" w:cs="仿宋_GB2312" w:eastAsia="仿宋_GB2312"/>
          <w:sz w:val="28"/>
          <w:b/>
        </w:rPr>
        <w:t>西安市长安区农产品质量安全检验监测中心</w:t>
      </w:r>
    </w:p>
    <w:p>
      <w:pPr>
        <w:pStyle w:val="null3"/>
        <w:jc w:val="center"/>
        <w:outlineLvl w:val="2"/>
      </w:pPr>
      <w:r>
        <w:rPr>
          <w:rFonts w:ascii="仿宋_GB2312" w:hAnsi="仿宋_GB2312" w:cs="仿宋_GB2312" w:eastAsia="仿宋_GB2312"/>
          <w:sz w:val="28"/>
          <w:b/>
        </w:rPr>
        <w:t>安屹项目管理有限公司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安屹项目管理有限公司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西安市长安区农产品质量安全检验监测中心</w:t>
      </w:r>
      <w:r>
        <w:rPr>
          <w:rFonts w:ascii="仿宋_GB2312" w:hAnsi="仿宋_GB2312" w:cs="仿宋_GB2312" w:eastAsia="仿宋_GB2312"/>
        </w:rPr>
        <w:t>委托，拟对</w:t>
      </w:r>
      <w:r>
        <w:rPr>
          <w:rFonts w:ascii="仿宋_GB2312" w:hAnsi="仿宋_GB2312" w:cs="仿宋_GB2312" w:eastAsia="仿宋_GB2312"/>
        </w:rPr>
        <w:t>长安区市级农产品检验检测项目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AYZB-2025-053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长安区市级农产品检验检测项目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（一）委托第三方服务组织定量检测样品457样。 （二）购买第三方服务，开展实验室检测技术指导服务等。实验室定量检测700样，实验室人员能力提升、检测业务培训、质量体系文件编写等。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采购包1（委托第三方服务组织定量检测服务）：属于专门面向中小企业采购。</w:t>
      </w:r>
    </w:p>
    <w:p>
      <w:pPr>
        <w:pStyle w:val="null3"/>
      </w:pPr>
      <w:r>
        <w:rPr>
          <w:rFonts w:ascii="仿宋_GB2312" w:hAnsi="仿宋_GB2312" w:cs="仿宋_GB2312" w:eastAsia="仿宋_GB2312"/>
        </w:rPr>
        <w:t>采购包2（检测室技术指导服务）：属于专门面向中小企业采购。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证明：法定代表人授权书（附法定代表人、被授权人身份证复印件及被授权人在本单位近三个月内任意一个月的社保交纳证明）,法定代表人直接参加磋商，须提供法定代表人身份证明</w:t>
      </w:r>
    </w:p>
    <w:p>
      <w:pPr>
        <w:pStyle w:val="null3"/>
      </w:pPr>
      <w:r>
        <w:rPr>
          <w:rFonts w:ascii="仿宋_GB2312" w:hAnsi="仿宋_GB2312" w:cs="仿宋_GB2312" w:eastAsia="仿宋_GB2312"/>
        </w:rPr>
        <w:t>2、企业资质证书：供应商具备合法有效的CMA检验检测机构资质认定证书、CATL农产品质量安全检测机构考核合格证书。</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证明：法定代表人授权书（附法定代表人、被授权人身份证复印件及被授权人在本单位近三个月内任意一个月的社保交纳证明）,法定代表人直接参加磋商，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西安市长安区农产品质量安全检验监测中心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韦曲街办皂河路331号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郭卫龙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84180972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安屹项目管理有限公司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陕西省西安市经济技术开发区文景商务广场C座2501室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029-88643256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采购包1：251,350.00元</w:t>
            </w:r>
          </w:p>
          <w:p>
            <w:pPr>
              <w:pStyle w:val="null3"/>
            </w:pPr>
            <w:r>
              <w:rPr>
                <w:rFonts w:ascii="仿宋_GB2312" w:hAnsi="仿宋_GB2312" w:cs="仿宋_GB2312" w:eastAsia="仿宋_GB2312"/>
              </w:rPr>
              <w:t>采购包2：255,150.00元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关于降低部分建设项目收费标准规范收费行为等有关问题的通知》(发改价格〔2011〕534号)等有关规定，不足伍仟元按伍仟元收取。开户名称：安屹项目管理有限公司 、开户行：中国民生银行股份有限公司西安汉城路支行、账号：157 680 362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西安市长安区农产品质量安全检验监测中心</w:t>
      </w:r>
      <w:r>
        <w:rPr>
          <w:rFonts w:ascii="仿宋_GB2312" w:hAnsi="仿宋_GB2312" w:cs="仿宋_GB2312" w:eastAsia="仿宋_GB2312"/>
        </w:rPr>
        <w:t>和</w:t>
      </w:r>
      <w:r>
        <w:rPr>
          <w:rFonts w:ascii="仿宋_GB2312" w:hAnsi="仿宋_GB2312" w:cs="仿宋_GB2312" w:eastAsia="仿宋_GB2312"/>
        </w:rPr>
        <w:t>安屹项目管理有限公司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西安市长安区农产品质量安全检验监测中心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安屹项目管理有限公司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西安市长安区农产品质量安全检验监测中心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安屹项目管理有限公司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达到国家或行业质量验收合格标准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达到国家或行业质量验收合格标准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安屹项目管理有限公司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联系电话：029-88643256</w:t>
      </w:r>
    </w:p>
    <w:p>
      <w:pPr>
        <w:pStyle w:val="null3"/>
      </w:pPr>
      <w:r>
        <w:rPr>
          <w:rFonts w:ascii="仿宋_GB2312" w:hAnsi="仿宋_GB2312" w:cs="仿宋_GB2312" w:eastAsia="仿宋_GB2312"/>
        </w:rPr>
        <w:t>地址：西安市经济技术开发区文景商务广场C座2501室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（一）委托第三方服务组织定量检测样品457样。 （二）购买第三方服务，开展实验室检测技术指导服务等。实验室定量检测700样，实验室人员能力提升、检测业务培训、质量体系文件编写等。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251,350.00</w:t>
      </w:r>
    </w:p>
    <w:p>
      <w:pPr>
        <w:pStyle w:val="null3"/>
      </w:pPr>
      <w:r>
        <w:rPr>
          <w:rFonts w:ascii="仿宋_GB2312" w:hAnsi="仿宋_GB2312" w:cs="仿宋_GB2312" w:eastAsia="仿宋_GB2312"/>
        </w:rPr>
        <w:t>采购包最高限价（元）: 251,350.00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委托第三方服务组织定量检测服务</w:t>
            </w:r>
          </w:p>
        </w:tc>
        <w:tc>
          <w:tcPr>
            <w:tcW w:type="dxa" w:w="831"/>
          </w:tcPr>
          <w:p>
            <w:pPr>
              <w:pStyle w:val="null3"/>
              <w:jc w:val="right"/>
            </w:pPr>
            <w:r>
              <w:rPr>
                <w:rFonts w:ascii="仿宋_GB2312" w:hAnsi="仿宋_GB2312" w:cs="仿宋_GB2312" w:eastAsia="仿宋_GB2312"/>
              </w:rPr>
              <w:t>457.00</w:t>
            </w:r>
          </w:p>
        </w:tc>
        <w:tc>
          <w:tcPr>
            <w:tcW w:type="dxa" w:w="831"/>
          </w:tcPr>
          <w:p>
            <w:pPr>
              <w:pStyle w:val="null3"/>
              <w:jc w:val="right"/>
            </w:pPr>
            <w:r>
              <w:rPr>
                <w:rFonts w:ascii="仿宋_GB2312" w:hAnsi="仿宋_GB2312" w:cs="仿宋_GB2312" w:eastAsia="仿宋_GB2312"/>
              </w:rPr>
              <w:t>251,350.00</w:t>
            </w:r>
          </w:p>
        </w:tc>
        <w:tc>
          <w:tcPr>
            <w:tcW w:type="dxa" w:w="831"/>
          </w:tcPr>
          <w:p>
            <w:pPr>
              <w:pStyle w:val="null3"/>
            </w:pPr>
            <w:r>
              <w:rPr>
                <w:rFonts w:ascii="仿宋_GB2312" w:hAnsi="仿宋_GB2312" w:cs="仿宋_GB2312" w:eastAsia="仿宋_GB2312"/>
              </w:rPr>
              <w:t>样</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255,150.00</w:t>
      </w:r>
    </w:p>
    <w:p>
      <w:pPr>
        <w:pStyle w:val="null3"/>
      </w:pPr>
      <w:r>
        <w:rPr>
          <w:rFonts w:ascii="仿宋_GB2312" w:hAnsi="仿宋_GB2312" w:cs="仿宋_GB2312" w:eastAsia="仿宋_GB2312"/>
        </w:rPr>
        <w:t>采购包最高限价（元）: 255,150.00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检测室技术指导服务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255,150.00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标的名称：委托第三方服务组织定量检测服务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C0C0C"/>
              </w:rPr>
              <w:t>种植业产品检测项目：委托第三方对全区种植业产品进行安全检测，突出蔬菜、水果、食用菌等检测，扩大风险监测规模和小农户抽样比例，落实定量检测</w:t>
            </w:r>
            <w:r>
              <w:rPr>
                <w:rFonts w:ascii="仿宋_GB2312" w:hAnsi="仿宋_GB2312" w:cs="仿宋_GB2312" w:eastAsia="仿宋_GB2312"/>
                <w:sz w:val="24"/>
                <w:color w:val="0C0C0C"/>
              </w:rPr>
              <w:t>457批次，确保风险监测的时效性、准确性。供应商应严格按照时间节点要求完成检测任务。种植业产品监测项目和检测方法(定量检测)内容详见下表：</w:t>
            </w:r>
          </w:p>
          <w:tbl>
            <w:tblPr>
              <w:tblInd w:type="dxa" w:w="135"/>
              <w:tblBorders>
                <w:top w:val="none" w:color="000000" w:sz="4"/>
                <w:left w:val="none" w:color="000000" w:sz="4"/>
                <w:bottom w:val="none" w:color="000000" w:sz="4"/>
                <w:right w:val="none" w:color="000000" w:sz="4"/>
                <w:insideH w:val="none"/>
                <w:insideV w:val="none"/>
              </w:tblBorders>
            </w:tblPr>
            <w:tblGrid>
              <w:gridCol w:w="1803"/>
              <w:gridCol w:w="745"/>
            </w:tblGrid>
            <w:tr>
              <w:tc>
                <w:tcPr>
                  <w:tcW w:type="dxa" w:w="18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C0C0C"/>
                    </w:rPr>
                    <w:t>监测参数</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C0C0C"/>
                    </w:rPr>
                    <w:t>检测方法</w:t>
                  </w:r>
                </w:p>
              </w:tc>
            </w:tr>
            <w:tr>
              <w:tc>
                <w:tcPr>
                  <w:tcW w:type="dxa" w:w="18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C0C0C"/>
                    </w:rPr>
                    <w:t>禁用农药：甲胺磷、对硫磷、甲基对硫磷、六六六、三氯杀螨醇、甲拌磷、水胺硫磷、甲基异柳磷；氧乐果、克百威</w:t>
                  </w:r>
                  <w:r>
                    <w:rPr>
                      <w:rFonts w:ascii="仿宋_GB2312" w:hAnsi="仿宋_GB2312" w:cs="仿宋_GB2312" w:eastAsia="仿宋_GB2312"/>
                      <w:sz w:val="24"/>
                      <w:color w:val="0C0C0C"/>
                    </w:rPr>
                    <w:t>(包括3-羟基克百威)、涕灭威(包括涕灭威砜和涕灭威亚砜)、灭多威(2026年6月1日起禁止使用)、灭线磷、杀扑磷。</w:t>
                  </w:r>
                </w:p>
                <w:p>
                  <w:pPr>
                    <w:pStyle w:val="null3"/>
                    <w:ind w:firstLine="480"/>
                    <w:jc w:val="both"/>
                  </w:pPr>
                  <w:r>
                    <w:rPr>
                      <w:rFonts w:ascii="仿宋_GB2312" w:hAnsi="仿宋_GB2312" w:cs="仿宋_GB2312" w:eastAsia="仿宋_GB2312"/>
                      <w:sz w:val="24"/>
                      <w:color w:val="0C0C0C"/>
                    </w:rPr>
                    <w:t>限用农药：氟虫腈</w:t>
                  </w:r>
                  <w:r>
                    <w:rPr>
                      <w:rFonts w:ascii="仿宋_GB2312" w:hAnsi="仿宋_GB2312" w:cs="仿宋_GB2312" w:eastAsia="仿宋_GB2312"/>
                      <w:sz w:val="24"/>
                      <w:color w:val="0C0C0C"/>
                    </w:rPr>
                    <w:t>(包括氟甲</w:t>
                  </w:r>
                  <w:r>
                    <w:rPr>
                      <w:rFonts w:ascii="仿宋_GB2312" w:hAnsi="仿宋_GB2312" w:cs="仿宋_GB2312" w:eastAsia="仿宋_GB2312"/>
                      <w:sz w:val="24"/>
                      <w:color w:val="0C0C0C"/>
                    </w:rPr>
                    <w:t>腈</w:t>
                  </w:r>
                  <w:r>
                    <w:rPr>
                      <w:rFonts w:ascii="仿宋_GB2312" w:hAnsi="仿宋_GB2312" w:cs="仿宋_GB2312" w:eastAsia="仿宋_GB2312"/>
                      <w:sz w:val="24"/>
                      <w:color w:val="0C0C0C"/>
                    </w:rPr>
                    <w:t>、氟虫腈硫醚、氟虫腈砜</w:t>
                  </w:r>
                  <w:r>
                    <w:rPr>
                      <w:rFonts w:ascii="仿宋_GB2312" w:hAnsi="仿宋_GB2312" w:cs="仿宋_GB2312" w:eastAsia="仿宋_GB2312"/>
                      <w:sz w:val="24"/>
                      <w:color w:val="0C0C0C"/>
                    </w:rPr>
                    <w:t>)、毒死蜱、三唑磷、乐果、乙酰甲胺磷。</w:t>
                  </w:r>
                </w:p>
                <w:p>
                  <w:pPr>
                    <w:pStyle w:val="null3"/>
                    <w:ind w:firstLine="480"/>
                    <w:jc w:val="both"/>
                  </w:pPr>
                  <w:r>
                    <w:rPr>
                      <w:rFonts w:ascii="仿宋_GB2312" w:hAnsi="仿宋_GB2312" w:cs="仿宋_GB2312" w:eastAsia="仿宋_GB2312"/>
                      <w:sz w:val="24"/>
                      <w:color w:val="0C0C0C"/>
                    </w:rPr>
                    <w:t>常规农药：敌敌畏、杀螟硫磷、丙溴磷、马拉硫磷、亚胺硫磷、辛硫磷、氯氰菊酯、氰戊菊酯、溴氰菊酯、甲氰菊酯、联苯菊酯、氯氟氰菊酯、氟氯氰菊酯、氯吡脲、除虫脲、灭幼</w:t>
                  </w:r>
                  <w:r>
                    <w:rPr>
                      <w:rFonts w:ascii="仿宋_GB2312" w:hAnsi="仿宋_GB2312" w:cs="仿宋_GB2312" w:eastAsia="仿宋_GB2312"/>
                      <w:sz w:val="24"/>
                      <w:color w:val="0C0C0C"/>
                    </w:rPr>
                    <w:t>脲</w:t>
                  </w:r>
                  <w:r>
                    <w:rPr>
                      <w:rFonts w:ascii="仿宋_GB2312" w:hAnsi="仿宋_GB2312" w:cs="仿宋_GB2312" w:eastAsia="仿宋_GB2312"/>
                      <w:sz w:val="24"/>
                      <w:color w:val="0C0C0C"/>
                    </w:rPr>
                    <w:t>、吡虫啉、啶虫脒、哒螨灵、阿维菌素、甲氨基阿维菌素苯甲酸盐、虫螨腈、噻虫嗪、氟啶脲、异菌脲、五氯硝基苯、三唑酮、百菌清、腐霉利、乙烯菌核利、多菌灵、苯醚甲环唑、嘧</w:t>
                  </w:r>
                  <w:r>
                    <w:rPr>
                      <w:rFonts w:ascii="仿宋_GB2312" w:hAnsi="仿宋_GB2312" w:cs="仿宋_GB2312" w:eastAsia="仿宋_GB2312"/>
                      <w:sz w:val="24"/>
                      <w:color w:val="0C0C0C"/>
                    </w:rPr>
                    <w:t>霉</w:t>
                  </w:r>
                  <w:r>
                    <w:rPr>
                      <w:rFonts w:ascii="仿宋_GB2312" w:hAnsi="仿宋_GB2312" w:cs="仿宋_GB2312" w:eastAsia="仿宋_GB2312"/>
                      <w:sz w:val="24"/>
                      <w:color w:val="0C0C0C"/>
                    </w:rPr>
                    <w:t>胺、烯酰吗啉、咪鲜胺、嘧菌酯、二甲戊灵、灭蝇胺、甲霜灵、霜霉威、氯虫苯甲</w:t>
                  </w:r>
                  <w:r>
                    <w:rPr>
                      <w:rFonts w:ascii="仿宋_GB2312" w:hAnsi="仿宋_GB2312" w:cs="仿宋_GB2312" w:eastAsia="仿宋_GB2312"/>
                      <w:sz w:val="24"/>
                      <w:color w:val="0C0C0C"/>
                    </w:rPr>
                    <w:t>酰胺、氯菊酯</w:t>
                  </w:r>
                  <w:r>
                    <w:rPr>
                      <w:rFonts w:ascii="仿宋_GB2312" w:hAnsi="仿宋_GB2312" w:cs="仿宋_GB2312" w:eastAsia="仿宋_GB2312"/>
                      <w:sz w:val="24"/>
                      <w:color w:val="0C0C0C"/>
                    </w:rPr>
                    <w:t>(异构体之和)、醚菊酯、虫酰肼、吡唑醚菌酯、二嗪磷、伏杀硫磷、甲萘威、氟胺氰菊酯、三唑醇、多效唑。</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C0C0C"/>
                    </w:rPr>
                    <w:t>按</w:t>
                  </w:r>
                  <w:r>
                    <w:rPr>
                      <w:rFonts w:ascii="仿宋_GB2312" w:hAnsi="仿宋_GB2312" w:cs="仿宋_GB2312" w:eastAsia="仿宋_GB2312"/>
                      <w:sz w:val="24"/>
                      <w:color w:val="0C0C0C"/>
                    </w:rPr>
                    <w:t>GB/T 20769</w:t>
                  </w:r>
                </w:p>
                <w:p>
                  <w:pPr>
                    <w:pStyle w:val="null3"/>
                    <w:ind w:firstLine="480"/>
                    <w:jc w:val="both"/>
                  </w:pPr>
                  <w:r>
                    <w:rPr>
                      <w:rFonts w:ascii="仿宋_GB2312" w:hAnsi="仿宋_GB2312" w:cs="仿宋_GB2312" w:eastAsia="仿宋_GB2312"/>
                      <w:sz w:val="24"/>
                      <w:color w:val="0C0C0C"/>
                    </w:rPr>
                    <w:t>或</w:t>
                  </w:r>
                  <w:r>
                    <w:rPr>
                      <w:rFonts w:ascii="仿宋_GB2312" w:hAnsi="仿宋_GB2312" w:cs="仿宋_GB2312" w:eastAsia="仿宋_GB2312"/>
                      <w:sz w:val="24"/>
                      <w:color w:val="0C0C0C"/>
                    </w:rPr>
                    <w:t>GB 23200.113</w:t>
                  </w:r>
                </w:p>
                <w:p>
                  <w:pPr>
                    <w:pStyle w:val="null3"/>
                    <w:ind w:firstLine="480"/>
                    <w:jc w:val="both"/>
                  </w:pPr>
                  <w:r>
                    <w:rPr>
                      <w:rFonts w:ascii="仿宋_GB2312" w:hAnsi="仿宋_GB2312" w:cs="仿宋_GB2312" w:eastAsia="仿宋_GB2312"/>
                      <w:sz w:val="24"/>
                      <w:color w:val="0C0C0C"/>
                    </w:rPr>
                    <w:t>或</w:t>
                  </w:r>
                  <w:r>
                    <w:rPr>
                      <w:rFonts w:ascii="仿宋_GB2312" w:hAnsi="仿宋_GB2312" w:cs="仿宋_GB2312" w:eastAsia="仿宋_GB2312"/>
                      <w:sz w:val="24"/>
                      <w:color w:val="0C0C0C"/>
                    </w:rPr>
                    <w:t>GB 23200.121</w:t>
                  </w:r>
                </w:p>
                <w:p>
                  <w:pPr>
                    <w:pStyle w:val="null3"/>
                    <w:ind w:firstLine="480"/>
                    <w:jc w:val="both"/>
                  </w:pPr>
                  <w:r>
                    <w:rPr>
                      <w:rFonts w:ascii="仿宋_GB2312" w:hAnsi="仿宋_GB2312" w:cs="仿宋_GB2312" w:eastAsia="仿宋_GB2312"/>
                      <w:sz w:val="24"/>
                      <w:color w:val="0C0C0C"/>
                    </w:rPr>
                    <w:t>或</w:t>
                  </w:r>
                  <w:r>
                    <w:rPr>
                      <w:rFonts w:ascii="仿宋_GB2312" w:hAnsi="仿宋_GB2312" w:cs="仿宋_GB2312" w:eastAsia="仿宋_GB2312"/>
                      <w:sz w:val="24"/>
                      <w:color w:val="0C0C0C"/>
                    </w:rPr>
                    <w:t>GB 23200.8</w:t>
                  </w:r>
                </w:p>
                <w:p>
                  <w:pPr>
                    <w:pStyle w:val="null3"/>
                    <w:ind w:firstLine="480"/>
                    <w:jc w:val="both"/>
                  </w:pPr>
                  <w:r>
                    <w:rPr>
                      <w:rFonts w:ascii="仿宋_GB2312" w:hAnsi="仿宋_GB2312" w:cs="仿宋_GB2312" w:eastAsia="仿宋_GB2312"/>
                      <w:sz w:val="24"/>
                      <w:color w:val="0C0C0C"/>
                    </w:rPr>
                    <w:t>或</w:t>
                  </w:r>
                  <w:r>
                    <w:rPr>
                      <w:rFonts w:ascii="仿宋_GB2312" w:hAnsi="仿宋_GB2312" w:cs="仿宋_GB2312" w:eastAsia="仿宋_GB2312"/>
                      <w:sz w:val="24"/>
                      <w:color w:val="0C0C0C"/>
                    </w:rPr>
                    <w:t>NY/T</w:t>
                  </w:r>
                  <w:r>
                    <w:rPr>
                      <w:rFonts w:ascii="仿宋_GB2312" w:hAnsi="仿宋_GB2312" w:cs="仿宋_GB2312" w:eastAsia="仿宋_GB2312"/>
                      <w:sz w:val="24"/>
                      <w:color w:val="0C0C0C"/>
                    </w:rPr>
                    <w:t>761进行检测。</w:t>
                  </w:r>
                </w:p>
              </w:tc>
            </w:tr>
          </w:tbl>
          <w:p>
            <w:pPr>
              <w:pStyle w:val="null3"/>
              <w:ind w:firstLine="480"/>
              <w:jc w:val="both"/>
            </w:pPr>
            <w:r>
              <w:rPr>
                <w:rFonts w:ascii="仿宋_GB2312" w:hAnsi="仿宋_GB2312" w:cs="仿宋_GB2312" w:eastAsia="仿宋_GB2312"/>
                <w:sz w:val="24"/>
                <w:color w:val="0C0C0C"/>
              </w:rPr>
              <w:t>采购人委托具体事项：</w:t>
            </w:r>
          </w:p>
          <w:p>
            <w:pPr>
              <w:pStyle w:val="null3"/>
              <w:ind w:firstLine="480"/>
              <w:jc w:val="both"/>
            </w:pPr>
            <w:r>
              <w:rPr>
                <w:rFonts w:ascii="仿宋_GB2312" w:hAnsi="仿宋_GB2312" w:cs="仿宋_GB2312" w:eastAsia="仿宋_GB2312"/>
                <w:sz w:val="24"/>
                <w:color w:val="0C0C0C"/>
              </w:rPr>
              <w:t>1.按照有关法律法规和技术规范，承担本项目抽检工作。</w:t>
            </w:r>
          </w:p>
          <w:p>
            <w:pPr>
              <w:pStyle w:val="null3"/>
              <w:ind w:firstLine="480"/>
              <w:jc w:val="both"/>
            </w:pPr>
            <w:r>
              <w:rPr>
                <w:rFonts w:ascii="仿宋_GB2312" w:hAnsi="仿宋_GB2312" w:cs="仿宋_GB2312" w:eastAsia="仿宋_GB2312"/>
                <w:sz w:val="24"/>
                <w:color w:val="0C0C0C"/>
              </w:rPr>
              <w:t>2.按照采购人委托的农产品品种、检测项目、检测数量和釆样区域制定抽查实施方案，检测周期为15天左右。抽査环节为农产品种植基地、食用农产品收购、运输环节，某类农产品抽样不足时，用其他农产品代替。</w:t>
            </w:r>
          </w:p>
          <w:p>
            <w:pPr>
              <w:pStyle w:val="null3"/>
              <w:ind w:firstLine="480"/>
              <w:jc w:val="both"/>
            </w:pPr>
            <w:r>
              <w:rPr>
                <w:rFonts w:ascii="仿宋_GB2312" w:hAnsi="仿宋_GB2312" w:cs="仿宋_GB2312" w:eastAsia="仿宋_GB2312"/>
                <w:sz w:val="24"/>
                <w:color w:val="0C0C0C"/>
              </w:rPr>
              <w:t>3.根据采购人要求和认可的抽查检测实施方案采集样品。在组织抽样检测过程中，检测产品的种类、项目、抽样地点及样品处理不得随意调整；如因客观情况必须进行调整的，需征得采购人同意。</w:t>
            </w:r>
          </w:p>
          <w:p>
            <w:pPr>
              <w:pStyle w:val="null3"/>
              <w:ind w:firstLine="480"/>
              <w:jc w:val="both"/>
            </w:pPr>
            <w:r>
              <w:rPr>
                <w:rFonts w:ascii="仿宋_GB2312" w:hAnsi="仿宋_GB2312" w:cs="仿宋_GB2312" w:eastAsia="仿宋_GB2312"/>
                <w:sz w:val="24"/>
                <w:color w:val="0C0C0C"/>
              </w:rPr>
              <w:t>4.按照有关法律法规和技术规范开展农产品质量安全检测。未经采购人同意，供应商不得少检或漏检，不得将委托检测的产品交由其他机构检测。</w:t>
            </w:r>
          </w:p>
          <w:p>
            <w:pPr>
              <w:pStyle w:val="null3"/>
              <w:ind w:firstLine="480"/>
              <w:jc w:val="both"/>
            </w:pPr>
            <w:r>
              <w:rPr>
                <w:rFonts w:ascii="仿宋_GB2312" w:hAnsi="仿宋_GB2312" w:cs="仿宋_GB2312" w:eastAsia="仿宋_GB2312"/>
                <w:sz w:val="24"/>
                <w:color w:val="0C0C0C"/>
              </w:rPr>
              <w:t>5.农产品质量安全例行抽检发现的不合格信息，供应商应在第一时间报告采购人，并不得泄露抽检数据。</w:t>
            </w:r>
          </w:p>
          <w:p>
            <w:pPr>
              <w:pStyle w:val="null3"/>
              <w:ind w:firstLine="480"/>
              <w:jc w:val="both"/>
            </w:pPr>
            <w:r>
              <w:rPr>
                <w:rFonts w:ascii="仿宋_GB2312" w:hAnsi="仿宋_GB2312" w:cs="仿宋_GB2312" w:eastAsia="仿宋_GB2312"/>
                <w:sz w:val="24"/>
                <w:color w:val="0C0C0C"/>
              </w:rPr>
              <w:t>6.毎个抽检周期结束前报送检测结果，同时报送所抽检的农产品种整体质量安全状况报告。采购人对报告的可靠性和准确性负责。</w:t>
            </w:r>
          </w:p>
          <w:p>
            <w:pPr>
              <w:pStyle w:val="null3"/>
              <w:spacing w:before="105" w:after="105"/>
              <w:jc w:val="both"/>
            </w:pPr>
            <w:r>
              <w:rPr>
                <w:rFonts w:ascii="仿宋_GB2312" w:hAnsi="仿宋_GB2312" w:cs="仿宋_GB2312" w:eastAsia="仿宋_GB2312"/>
                <w:sz w:val="24"/>
                <w:color w:val="0C0C0C"/>
              </w:rPr>
              <w:t xml:space="preserve">  7.规范备样品收集储存。不合格样品在规定的贮存条件下至少保存两个月。有特殊需求的，按采购人要求执行，最后由检验机构自行处理，并备有处理记录；合格样品保管期限不得少于异议期。</w:t>
            </w:r>
          </w:p>
          <w:p>
            <w:pPr>
              <w:pStyle w:val="null3"/>
              <w:spacing w:before="105" w:after="105"/>
              <w:jc w:val="both"/>
            </w:pPr>
            <w:r>
              <w:rPr>
                <w:rFonts w:ascii="仿宋_GB2312" w:hAnsi="仿宋_GB2312" w:cs="仿宋_GB2312" w:eastAsia="仿宋_GB2312"/>
              </w:rPr>
              <w:t xml:space="preserve"> </w:t>
            </w:r>
          </w:p>
          <w:p>
            <w:pPr>
              <w:pStyle w:val="null3"/>
              <w:spacing w:before="105" w:after="105"/>
              <w:jc w:val="both"/>
            </w:pPr>
            <w:r>
              <w:rPr>
                <w:rFonts w:ascii="仿宋_GB2312" w:hAnsi="仿宋_GB2312" w:cs="仿宋_GB2312" w:eastAsia="仿宋_GB2312"/>
              </w:rPr>
              <w:t xml:space="preserve"> </w:t>
            </w:r>
          </w:p>
          <w:p>
            <w:pPr>
              <w:pStyle w:val="null3"/>
              <w:spacing w:before="105" w:after="105"/>
              <w:jc w:val="both"/>
            </w:pPr>
            <w:r>
              <w:rPr>
                <w:rFonts w:ascii="仿宋_GB2312" w:hAnsi="仿宋_GB2312" w:cs="仿宋_GB2312" w:eastAsia="仿宋_GB2312"/>
              </w:rPr>
              <w:t xml:space="preserve"> </w:t>
            </w:r>
          </w:p>
          <w:p>
            <w:pPr>
              <w:pStyle w:val="null3"/>
              <w:spacing w:before="105" w:after="105"/>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标的名称：检测室技术指导服务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C0C0C"/>
              </w:rPr>
              <w:t>实验室技术指导服务：委托第三方对采购人实验室进行检测技术指导服务及体系技术指导服务。</w:t>
            </w:r>
          </w:p>
          <w:p>
            <w:pPr>
              <w:pStyle w:val="null3"/>
              <w:ind w:firstLine="480"/>
              <w:jc w:val="both"/>
            </w:pPr>
            <w:r>
              <w:rPr>
                <w:rFonts w:ascii="仿宋_GB2312" w:hAnsi="仿宋_GB2312" w:cs="仿宋_GB2312" w:eastAsia="仿宋_GB2312"/>
                <w:sz w:val="24"/>
                <w:color w:val="0C0C0C"/>
              </w:rPr>
              <w:t>1、体系技术指导内容：</w:t>
            </w:r>
          </w:p>
          <w:tbl>
            <w:tblPr>
              <w:tblBorders>
                <w:top w:val="none" w:color="000000" w:sz="4"/>
                <w:left w:val="none" w:color="000000" w:sz="4"/>
                <w:bottom w:val="none" w:color="000000" w:sz="4"/>
                <w:right w:val="none" w:color="000000" w:sz="4"/>
                <w:insideH w:val="none"/>
                <w:insideV w:val="none"/>
              </w:tblBorders>
            </w:tblPr>
            <w:tblGrid>
              <w:gridCol w:w="319"/>
              <w:gridCol w:w="535"/>
              <w:gridCol w:w="309"/>
              <w:gridCol w:w="1379"/>
            </w:tblGrid>
            <w:tr>
              <w:tc>
                <w:tcPr>
                  <w:tcW w:type="dxa" w:w="319"/>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序号</w:t>
                  </w:r>
                </w:p>
              </w:tc>
              <w:tc>
                <w:tcPr>
                  <w:tcW w:type="dxa" w:w="535"/>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指导项目</w:t>
                  </w:r>
                </w:p>
              </w:tc>
              <w:tc>
                <w:tcPr>
                  <w:tcW w:type="dxa" w:w="1688"/>
                  <w:gridSpan w:val="2"/>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指导内容</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体系修改</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w:t>
                  </w:r>
                </w:p>
              </w:tc>
              <w:tc>
                <w:tcPr>
                  <w:tcW w:type="dxa" w:w="1379"/>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人员变更</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体系文件修订</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记录填写</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3</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仪器使用记录</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4</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仪器维护记录</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5</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原始记录</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6</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试剂耗材保管领用记录</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3</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质量控制</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7</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加标回收</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8</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人员比对</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9</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实验室间比对</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10</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能力验证</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11</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检定与校准</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12</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功能核查</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13</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期间核查</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14</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质量监督</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4</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设施与环境</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15</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环境监测</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16</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冰箱冰柜温度监测</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17</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有害废弃物处理</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5</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标准溶液</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18</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标准溶液的采购验收</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19</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标准溶液的期间核查</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20</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标准溶液配置领用</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6</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内部审核</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21</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年度内部审核计划</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22</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年度内部审核实施</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23</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不符合项纠正措施</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24</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内部审核报告</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7</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管理评审</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25</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年度管理评审计划</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26</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年度管理评审实施</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27</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不符合项纠正措施</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28</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管理评审报告</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8</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样品管理</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29</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样品制备与保管</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30</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样品领用与处理</w:t>
                  </w:r>
                </w:p>
              </w:tc>
            </w:tr>
            <w:tr>
              <w:tc>
                <w:tcPr>
                  <w:tcW w:type="dxa" w:w="31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9</w:t>
                  </w:r>
                </w:p>
              </w:tc>
              <w:tc>
                <w:tcPr>
                  <w:tcW w:type="dxa" w:w="535"/>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人员档案</w:t>
                  </w: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31</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人员培训计划</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32</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人员培训记录</w:t>
                  </w:r>
                </w:p>
              </w:tc>
            </w:tr>
            <w:tr>
              <w:tc>
                <w:tcPr>
                  <w:tcW w:type="dxa" w:w="319"/>
                  <w:vMerge/>
                  <w:tcBorders>
                    <w:top w:val="none" w:color="000000" w:sz="4"/>
                    <w:left w:val="single" w:color="000000" w:sz="4"/>
                    <w:bottom w:val="single" w:color="000000" w:sz="4"/>
                    <w:right w:val="single" w:color="000000" w:sz="4"/>
                  </w:tcBorders>
                </w:tcPr>
                <w:p/>
              </w:tc>
              <w:tc>
                <w:tcPr>
                  <w:tcW w:type="dxa" w:w="535"/>
                  <w:vMerge/>
                  <w:tcBorders>
                    <w:top w:val="none" w:color="000000" w:sz="4"/>
                    <w:left w:val="none" w:color="000000" w:sz="4"/>
                    <w:bottom w:val="single" w:color="000000" w:sz="4"/>
                    <w:right w:val="single" w:color="000000" w:sz="4"/>
                  </w:tcBorders>
                </w:tcPr>
                <w:p/>
              </w:tc>
              <w:tc>
                <w:tcPr>
                  <w:tcW w:type="dxa" w:w="30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33</w:t>
                  </w:r>
                </w:p>
              </w:tc>
              <w:tc>
                <w:tcPr>
                  <w:tcW w:type="dxa" w:w="1379"/>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培训效果评价</w:t>
                  </w:r>
                </w:p>
              </w:tc>
            </w:tr>
          </w:tbl>
          <w:p>
            <w:pPr>
              <w:pStyle w:val="null3"/>
              <w:ind w:firstLine="480"/>
              <w:jc w:val="both"/>
            </w:pPr>
            <w:r>
              <w:rPr>
                <w:rFonts w:ascii="仿宋_GB2312" w:hAnsi="仿宋_GB2312" w:cs="仿宋_GB2312" w:eastAsia="仿宋_GB2312"/>
                <w:sz w:val="24"/>
                <w:color w:val="0C0C0C"/>
              </w:rPr>
              <w:t>2、检测技术指导内容：</w:t>
            </w:r>
          </w:p>
          <w:tbl>
            <w:tblPr>
              <w:tblBorders>
                <w:top w:val="none" w:color="000000" w:sz="4"/>
                <w:left w:val="none" w:color="000000" w:sz="4"/>
                <w:bottom w:val="none" w:color="000000" w:sz="4"/>
                <w:right w:val="none" w:color="000000" w:sz="4"/>
                <w:insideH w:val="none"/>
                <w:insideV w:val="none"/>
              </w:tblBorders>
            </w:tblPr>
            <w:tblGrid>
              <w:gridCol w:w="623"/>
              <w:gridCol w:w="382"/>
              <w:gridCol w:w="1541"/>
            </w:tblGrid>
            <w:tr>
              <w:tc>
                <w:tcPr>
                  <w:tcW w:type="dxa" w:w="623"/>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指导项目</w:t>
                  </w:r>
                </w:p>
              </w:tc>
              <w:tc>
                <w:tcPr>
                  <w:tcW w:type="dxa" w:w="1923"/>
                  <w:gridSpan w:val="2"/>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指导内容</w:t>
                  </w:r>
                </w:p>
              </w:tc>
            </w:tr>
            <w:tr>
              <w:tc>
                <w:tcPr>
                  <w:tcW w:type="dxa" w:w="623"/>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24"/>
                      <w:color w:val="333333"/>
                    </w:rPr>
                    <w:t>700批次定量检测</w:t>
                  </w:r>
                </w:p>
              </w:tc>
              <w:tc>
                <w:tcPr>
                  <w:tcW w:type="dxa" w:w="38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1</w:t>
                  </w:r>
                </w:p>
              </w:tc>
              <w:tc>
                <w:tcPr>
                  <w:tcW w:type="dxa" w:w="154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样品制备</w:t>
                  </w:r>
                </w:p>
              </w:tc>
            </w:tr>
            <w:tr>
              <w:tc>
                <w:tcPr>
                  <w:tcW w:type="dxa" w:w="623"/>
                  <w:vMerge/>
                  <w:tcBorders>
                    <w:top w:val="none" w:color="000000" w:sz="4"/>
                    <w:left w:val="single" w:color="000000" w:sz="4"/>
                    <w:bottom w:val="single" w:color="000000" w:sz="4"/>
                    <w:right w:val="single" w:color="000000" w:sz="4"/>
                  </w:tcBorders>
                </w:tcPr>
                <w:p/>
              </w:tc>
              <w:tc>
                <w:tcPr>
                  <w:tcW w:type="dxa" w:w="38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2</w:t>
                  </w:r>
                </w:p>
              </w:tc>
              <w:tc>
                <w:tcPr>
                  <w:tcW w:type="dxa" w:w="154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样品前处理</w:t>
                  </w:r>
                </w:p>
              </w:tc>
            </w:tr>
            <w:tr>
              <w:tc>
                <w:tcPr>
                  <w:tcW w:type="dxa" w:w="623"/>
                  <w:vMerge/>
                  <w:tcBorders>
                    <w:top w:val="none" w:color="000000" w:sz="4"/>
                    <w:left w:val="single" w:color="000000" w:sz="4"/>
                    <w:bottom w:val="single" w:color="000000" w:sz="4"/>
                    <w:right w:val="single" w:color="000000" w:sz="4"/>
                  </w:tcBorders>
                </w:tcPr>
                <w:p/>
              </w:tc>
              <w:tc>
                <w:tcPr>
                  <w:tcW w:type="dxa" w:w="38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3</w:t>
                  </w:r>
                </w:p>
              </w:tc>
              <w:tc>
                <w:tcPr>
                  <w:tcW w:type="dxa" w:w="154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仪器上机检测</w:t>
                  </w:r>
                </w:p>
              </w:tc>
            </w:tr>
            <w:tr>
              <w:tc>
                <w:tcPr>
                  <w:tcW w:type="dxa" w:w="623"/>
                  <w:vMerge/>
                  <w:tcBorders>
                    <w:top w:val="none" w:color="000000" w:sz="4"/>
                    <w:left w:val="single" w:color="000000" w:sz="4"/>
                    <w:bottom w:val="single" w:color="000000" w:sz="4"/>
                    <w:right w:val="single" w:color="000000" w:sz="4"/>
                  </w:tcBorders>
                </w:tcPr>
                <w:p/>
              </w:tc>
              <w:tc>
                <w:tcPr>
                  <w:tcW w:type="dxa" w:w="38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4</w:t>
                  </w:r>
                </w:p>
              </w:tc>
              <w:tc>
                <w:tcPr>
                  <w:tcW w:type="dxa" w:w="154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数据处理</w:t>
                  </w:r>
                </w:p>
              </w:tc>
            </w:tr>
            <w:tr>
              <w:tc>
                <w:tcPr>
                  <w:tcW w:type="dxa" w:w="623"/>
                  <w:vMerge/>
                  <w:tcBorders>
                    <w:top w:val="none" w:color="000000" w:sz="4"/>
                    <w:left w:val="single" w:color="000000" w:sz="4"/>
                    <w:bottom w:val="single" w:color="000000" w:sz="4"/>
                    <w:right w:val="single" w:color="000000" w:sz="4"/>
                  </w:tcBorders>
                </w:tcPr>
                <w:p/>
              </w:tc>
              <w:tc>
                <w:tcPr>
                  <w:tcW w:type="dxa" w:w="382"/>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center"/>
                  </w:pPr>
                  <w:r>
                    <w:rPr>
                      <w:rFonts w:ascii="仿宋_GB2312" w:hAnsi="仿宋_GB2312" w:cs="仿宋_GB2312" w:eastAsia="仿宋_GB2312"/>
                      <w:sz w:val="24"/>
                      <w:color w:val="333333"/>
                    </w:rPr>
                    <w:t>5</w:t>
                  </w:r>
                </w:p>
              </w:tc>
              <w:tc>
                <w:tcPr>
                  <w:tcW w:type="dxa" w:w="154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80"/>
                    <w:jc w:val="both"/>
                  </w:pPr>
                  <w:r>
                    <w:rPr>
                      <w:rFonts w:ascii="仿宋_GB2312" w:hAnsi="仿宋_GB2312" w:cs="仿宋_GB2312" w:eastAsia="仿宋_GB2312"/>
                      <w:sz w:val="24"/>
                      <w:color w:val="333333"/>
                    </w:rPr>
                    <w:t>报告编辑</w:t>
                  </w:r>
                </w:p>
              </w:tc>
            </w:tr>
          </w:tbl>
          <w:p>
            <w:pPr>
              <w:pStyle w:val="null3"/>
              <w:ind w:firstLine="480"/>
              <w:jc w:val="both"/>
            </w:pPr>
            <w:r>
              <w:rPr>
                <w:rFonts w:ascii="仿宋_GB2312" w:hAnsi="仿宋_GB2312" w:cs="仿宋_GB2312" w:eastAsia="仿宋_GB2312"/>
                <w:sz w:val="24"/>
                <w:color w:val="0C0C0C"/>
              </w:rPr>
              <w:t>3、技术服务方式：</w:t>
            </w:r>
          </w:p>
          <w:p>
            <w:pPr>
              <w:pStyle w:val="null3"/>
              <w:ind w:firstLine="480"/>
              <w:jc w:val="both"/>
            </w:pPr>
            <w:r>
              <w:rPr>
                <w:rFonts w:ascii="仿宋_GB2312" w:hAnsi="仿宋_GB2312" w:cs="仿宋_GB2312" w:eastAsia="仿宋_GB2312"/>
                <w:sz w:val="24"/>
                <w:color w:val="0C0C0C"/>
              </w:rPr>
              <w:t>1)、由乙方派遣技术人员到甲方开展检测实验及相关工作。</w:t>
            </w:r>
          </w:p>
          <w:p>
            <w:pPr>
              <w:pStyle w:val="null3"/>
              <w:ind w:firstLine="480"/>
              <w:jc w:val="both"/>
            </w:pPr>
            <w:r>
              <w:rPr>
                <w:rFonts w:ascii="仿宋_GB2312" w:hAnsi="仿宋_GB2312" w:cs="仿宋_GB2312" w:eastAsia="仿宋_GB2312"/>
                <w:sz w:val="24"/>
                <w:color w:val="0C0C0C"/>
              </w:rPr>
              <w:t>2)、按照甲方的质量管理体系完成相关检测设任务及内部资料的填写工作。</w:t>
            </w:r>
          </w:p>
          <w:p>
            <w:pPr>
              <w:pStyle w:val="null3"/>
              <w:ind w:firstLine="480"/>
              <w:jc w:val="both"/>
            </w:pPr>
            <w:r>
              <w:rPr>
                <w:rFonts w:ascii="仿宋_GB2312" w:hAnsi="仿宋_GB2312" w:cs="仿宋_GB2312" w:eastAsia="仿宋_GB2312"/>
                <w:sz w:val="24"/>
                <w:color w:val="0C0C0C"/>
              </w:rPr>
              <w:t>3)、为甲方进行检测数据统计、分析及出具相关报告。</w:t>
            </w:r>
          </w:p>
          <w:p>
            <w:pPr>
              <w:pStyle w:val="null3"/>
              <w:ind w:firstLine="480"/>
              <w:jc w:val="both"/>
            </w:pPr>
            <w:r>
              <w:rPr>
                <w:rFonts w:ascii="仿宋_GB2312" w:hAnsi="仿宋_GB2312" w:cs="仿宋_GB2312" w:eastAsia="仿宋_GB2312"/>
                <w:sz w:val="24"/>
                <w:color w:val="0C0C0C"/>
              </w:rPr>
              <w:t>4)、及时告知甲方按照体系文件要求对仪器设备的检定校准、实验室的危废处理等需第三方完成的工作。</w:t>
            </w:r>
          </w:p>
          <w:p>
            <w:pPr>
              <w:pStyle w:val="null3"/>
              <w:ind w:firstLine="480"/>
              <w:jc w:val="both"/>
            </w:pPr>
            <w:r>
              <w:rPr>
                <w:rFonts w:ascii="仿宋_GB2312" w:hAnsi="仿宋_GB2312" w:cs="仿宋_GB2312" w:eastAsia="仿宋_GB2312"/>
                <w:sz w:val="24"/>
                <w:color w:val="0C0C0C"/>
              </w:rPr>
              <w:t>5)、甲方临时性委托乙方提供非合同约定内容的技术升级、技术咨询、技术标准制定等其他技术服务，服务的具体内容和形式由甲乙双方以补充协议另行约定为准。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按照合同要求完成服务内容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自合同签订之日起至2026年10月底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自合同签订之日起至2026年10月底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西安市长安区农产品质量安全检验监测中心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西安市长安区农产品质量安全检验监测中心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抽样工作要留有照片资料，在抽检工作完成后随检验报告一同递交采购人，并只可向采购人报告检验结果，未经采购人同意供应商不得私自向社会或被检单位透漏抽检相关信息。所有检测工作完毕后，由采购人签发《验收合格单》。 2.验收不合格的成交单位，必须在接到通知后5个日历日内确保验收工作符合甲方要求。若接到通知后7个日历日内验收仍不合格，采购人可提出索赔或取消与其签署的成交合同。采购人将把成交资格授予评审排序下一名的成交供应商。 3.验收依据 3.1合同文本及合同补充文件(条款)。 3.2竞争性磋商文件。 3.3成交单位的响应文件。 3.4相关的检验报告。 3.5国家或行业相应的标准、规范。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1.供应商服务完成后，由采购人签发《验收合格单》。 2.验收不合格的成交单位，必须在接到通知后5个日历日内确保验收合格。若接到通知后7个日历日内验收仍不合格，采购人可提出索赔或取消与其签署的成交 合同。采购代理机构将把成交资格授予评审排序下一名的成交供应商。 3.验收依据 3.1合同文本及合同补充文件（条款）。3.2竞争性磋商文件。 3.3成交单位的响应文件。 3.4国家或行业相应的标准、规范。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服务工作完成后，乙方向甲方出据项目实施中所有的抽样单、汇总单、检测报告、风险分析报告等资料，经甲方上级单位验收合格拨款后，一次性向乙方支付合同价款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服务工作完成后，乙方向甲方出据项目实施中所有合同规定的资料，经甲方上级单位验收合 格拨款后，一次性向乙方支付合同价款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①依据《中华人民共和国民法典》、《中华人民共和国政府采购法》、《中华人民共 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②解决争议的方法：合同执行中发生争议的，当事人双方应协商解决。协商达不成一致时，可依法向甲方所在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②解决争议的方法：合同执行中发生争议的，当事人双方应协商解决。协商达不成一致时，可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1.成交人在领取成交通知书时提供三份纸质响应文件及电子响应文件二份（U盘；电子响应文件为Word版本和PDF版本，PDF文件为签字、盖章的完整正本扫描件）。 装订：纸质响应文件采用书籍（胶装）方式装订成册，与电子响应文件一致的签字、盖章的完整版本。 2.纸质版投标文件采用双面打印，可以使用电子化交易系统上传的签章版打印。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提供供应商合法注册的法人或其他组织的营业执照/事业单位法人证书/非企业专业服务机构执业许可证/民办非企业单位登记证书，自然人参与的提供其身份证明。（2）财务状况报告：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3）税收缴纳证明：提供截止至磋商时间前六个月内任意一个月的缴纳凭据；（增值税、企业所得税至少提供一种，依法免税的供应商应提供相关文件证明）。（4）社会保障资金缴纳证明：提供截止至磋商时间前六个月内任意一个月的社保缴费凭据或社保机构开具的社会保险参保缴费情况证明，依法不需要缴纳社会保障资金的供应商应提供相关证明。（5）提供具有履行本合同所必需的设备和专业技术能力的说明及承诺；（提供书面说明及承诺，加盖供应商公章）（6）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填写《投标函》完成承诺并进行电子签章。（1）具有独立承担民事责任能力，提供供应商合法注册的法人或其他组织的营业执照/事业单位法人证书/非企业专业服务机构执业许可证/民办非企业单位登记证书，自然人参与的提供其身份证明。（2）财务状况报告：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3）税收缴纳证明：提供截止至磋商时间前六个月内任意一个月的缴纳凭据；（增值税、企业所得税至少提供一种，依法免税的供应商应提供相关文件证明）。（4）社会保障资金缴纳证明：提供截止至磋商时间前六个月内任意一个月的社保缴费凭据或社保机构开具的社会保险参保缴费情况证明，依法不需要缴纳社会保障资金的供应商应提供相关证明。（5）提供具有履行本合同所必需的设备和专业技术能力的说明及承诺；（提供书面说明及承诺，加盖供应商公章）（6）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具有财务审计资质单位出具的2023年度或2024年度财务报告（成立时间至磋商时间不足一年的可提供成立后任意时段的资产负债表）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法定代表人授权书（附法定代表人、被授权人身份证复印件及被授权人在本单位近三个月内任意一个月的社保交纳证明）,法定代表人直接参加磋商，须提供法定代表人身份证明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供应商具备合法有效的CMA检验检测机构资质认定证书、CATL农产品质量安全检测机构考核合格证书。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法定代表人授权书（附法定代表人、被授权人身份证复印件及被授权人在本单位近三个月内任意一个月的社保交纳证明）,法定代表人直接参加磋商，须提供法定代表人身份证明。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磋商响应文件盖章签字</w:t>
            </w:r>
          </w:p>
        </w:tc>
        <w:tc>
          <w:tcPr>
            <w:tcW w:type="dxa" w:w="3322"/>
          </w:tcPr>
          <w:p>
            <w:pPr>
              <w:pStyle w:val="null3"/>
            </w:pPr>
            <w:r>
              <w:rPr>
                <w:rFonts w:ascii="仿宋_GB2312" w:hAnsi="仿宋_GB2312" w:cs="仿宋_GB2312" w:eastAsia="仿宋_GB2312"/>
              </w:rPr>
              <w:t>按照竞争性磋商文件的规定和要求，在指定的页面落款处加盖公章并由法定代表人或被授权人签字（或盖章）。</w:t>
            </w:r>
          </w:p>
        </w:tc>
        <w:tc>
          <w:tcPr>
            <w:tcW w:type="dxa" w:w="1661"/>
          </w:tcPr>
          <w:p>
            <w:pPr>
              <w:pStyle w:val="null3"/>
            </w:pPr>
            <w:r>
              <w:rPr>
                <w:rFonts w:ascii="仿宋_GB2312" w:hAnsi="仿宋_GB2312" w:cs="仿宋_GB2312" w:eastAsia="仿宋_GB2312"/>
              </w:rPr>
              <w:t>服务内容及服务邀请应答表 中小企业声明函 承诺书.docx 报价表 磋商报价表.docx 商务条款响应偏离表.docx 响应文件封面 技术响应方案.docx 残疾人福利性单位声明函 标的清单 供应商应提交的相关资格证明文件.docx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w:t>
            </w:r>
          </w:p>
        </w:tc>
        <w:tc>
          <w:tcPr>
            <w:tcW w:type="dxa" w:w="1661"/>
          </w:tcPr>
          <w:p>
            <w:pPr>
              <w:pStyle w:val="null3"/>
            </w:pPr>
            <w:r>
              <w:rPr>
                <w:rFonts w:ascii="仿宋_GB2312" w:hAnsi="仿宋_GB2312" w:cs="仿宋_GB2312" w:eastAsia="仿宋_GB2312"/>
              </w:rPr>
              <w:t>技术响应方案.docx 标的清单 报价表 磋商报价表.docx 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没有出现法律法规或磋商文件明确规定的其他 被视为“无效响应”的情形及未实质性响应磋商 文件的情况。</w:t>
            </w:r>
          </w:p>
        </w:tc>
        <w:tc>
          <w:tcPr>
            <w:tcW w:type="dxa" w:w="1661"/>
          </w:tcPr>
          <w:p>
            <w:pPr>
              <w:pStyle w:val="null3"/>
            </w:pPr>
            <w:r>
              <w:rPr>
                <w:rFonts w:ascii="仿宋_GB2312" w:hAnsi="仿宋_GB2312" w:cs="仿宋_GB2312" w:eastAsia="仿宋_GB2312"/>
              </w:rPr>
              <w:t>服务内容及服务邀请应答表 中小企业声明函 承诺书.docx 报价表 磋商报价表.docx 商务条款响应偏离表.docx 响应文件封面 技术响应方案.docx 残疾人福利性单位声明函 标的清单 供应商应提交的相关资格证明文件.docx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磋商响应文件盖章签字</w:t>
            </w:r>
          </w:p>
        </w:tc>
        <w:tc>
          <w:tcPr>
            <w:tcW w:type="dxa" w:w="3322"/>
          </w:tcPr>
          <w:p>
            <w:pPr>
              <w:pStyle w:val="null3"/>
            </w:pPr>
            <w:r>
              <w:rPr>
                <w:rFonts w:ascii="仿宋_GB2312" w:hAnsi="仿宋_GB2312" w:cs="仿宋_GB2312" w:eastAsia="仿宋_GB2312"/>
              </w:rPr>
              <w:t>按照竞争性磋商文件的规定和要求，在指定的页面落款处加盖公章并由法定代表人或被授权人签字（或盖章）。</w:t>
            </w:r>
          </w:p>
        </w:tc>
        <w:tc>
          <w:tcPr>
            <w:tcW w:type="dxa" w:w="1661"/>
          </w:tcPr>
          <w:p>
            <w:pPr>
              <w:pStyle w:val="null3"/>
            </w:pPr>
            <w:r>
              <w:rPr>
                <w:rFonts w:ascii="仿宋_GB2312" w:hAnsi="仿宋_GB2312" w:cs="仿宋_GB2312" w:eastAsia="仿宋_GB2312"/>
              </w:rPr>
              <w:t>服务内容及服务邀请应答表 中小企业声明函 承诺书.docx 报价表 磋商报价表.docx 商务条款响应偏离表.docx 响应文件封面 技术响应方案.docx 残疾人福利性单位声明函 标的清单 供应商应提交的相关资格证明文件.docx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技术响应方案.docx 标的清单 报价表 磋商报价表.docx 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没有出现法律法规或磋商文件明确规定的其他被视为“无效响应”的情形及未实质性响应磋商文件的情况。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承诺书.docx 报价表 磋商报价表.docx 商务条款响应偏离表.docx 响应文件封面 技术响应方案.docx 残疾人福利性单位声明函 标的清单 供应商应提交的相关资格证明文件.docx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服务内容结合自身情况制定切实可行的实施服务方案，包括：抽样（抽检分离）、样品接收及核查、检验、异议处理、响应时间、工作方法、预防性管理方法等。①服务方案满足项目要求，方案内容丰富全面、科学合理、规范的计12分；②服务方案基本满足项目要求，方案内容较全面、较科学、较规范的计8分；③服务方案不满足项目要求，方案内容不完善、不规范的计4分；④未提供服务方案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项目检测方案</w:t>
            </w:r>
          </w:p>
        </w:tc>
        <w:tc>
          <w:tcPr>
            <w:tcW w:type="dxa" w:w="2492"/>
          </w:tcPr>
          <w:p>
            <w:pPr>
              <w:pStyle w:val="null3"/>
            </w:pPr>
            <w:r>
              <w:rPr>
                <w:rFonts w:ascii="仿宋_GB2312" w:hAnsi="仿宋_GB2312" w:cs="仿宋_GB2312" w:eastAsia="仿宋_GB2312"/>
              </w:rPr>
              <w:t>项目检测方案包括：上门采集样品、配置采样车辆、抽检样品保存、运输方案、样品检测、报告送达时间等方面。①项目检测方案满足监督抽检检验项目要求，内容详尽完善、切实可行的计12分；②项目检测方案基本满足监督抽检检验项目要求，内容比较详尽完善、比较切实可行的计8分；③项目检测方案内容比较粗略、不切实际的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本项目进度和后期服务措施承诺</w:t>
            </w:r>
          </w:p>
        </w:tc>
        <w:tc>
          <w:tcPr>
            <w:tcW w:type="dxa" w:w="2492"/>
          </w:tcPr>
          <w:p>
            <w:pPr>
              <w:pStyle w:val="null3"/>
            </w:pPr>
            <w:r>
              <w:rPr>
                <w:rFonts w:ascii="仿宋_GB2312" w:hAnsi="仿宋_GB2312" w:cs="仿宋_GB2312" w:eastAsia="仿宋_GB2312"/>
              </w:rPr>
              <w:t>提供本项目进度和后期服务措施承诺，能够考虑并满足委托人服务的多种需求。①满足项目要求，方案内容丰富全面、科学合理、规范的计5分；②基本满足项目要求，方案内容比较全面、较科学合理、较规范的计3分；③不满足项目要求，方案内容不完善、不规范的计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供应商有效质控措施</w:t>
            </w:r>
          </w:p>
        </w:tc>
        <w:tc>
          <w:tcPr>
            <w:tcW w:type="dxa" w:w="2492"/>
          </w:tcPr>
          <w:p>
            <w:pPr>
              <w:pStyle w:val="null3"/>
            </w:pPr>
            <w:r>
              <w:rPr>
                <w:rFonts w:ascii="仿宋_GB2312" w:hAnsi="仿宋_GB2312" w:cs="仿宋_GB2312" w:eastAsia="仿宋_GB2312"/>
              </w:rPr>
              <w:t>供应商有效质控措施：包括设备、试剂的期间核查，报告数据审核、参加能力验证、不同实验室之间比对、机构内部比对、盲样检验等，质量控制应有适当的方法和计划并加以评价。①质控措施完整、全面、可行的计8分；②质控措施较完整、较全面的计5分；③质控措施粗略、不完整的计2分；④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农产品安全检测制度、检验档案管理制度、实验室体系管理制度、责任追究制度、保密制度等管理制度。①制度类别详细，内容全面、完善的计5分；②制度类别齐全，内容较全面、较完善的计3分；③制度类别粗略，内容不全面、不完善的计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供应商具备撰写业务指导价值的风险分析报告的能力；①有撰写风险分析报告经验且分析报告具有业务指导价值的计4分；②撰写风险分析报告经验一般，分析报告业务指导价值一般的计2分；③未提供的不计分。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能够提供应急服务，有类似业务抽检经验。若管辖区出现应急类事件时，可立即派遣相关人员、车辆在2小时内到达指定地点，配合采购方进行采样、调查，并提出相关技术建议。①应急服务内容全面、完善、响应及时的计6分，②应急服务内容较全面、较完善、响应及时的计4分；③应急服务内容粗略、不完善、响应不及时的计2分；④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拟投入的团队人员配置</w:t>
            </w:r>
          </w:p>
        </w:tc>
        <w:tc>
          <w:tcPr>
            <w:tcW w:type="dxa" w:w="2492"/>
          </w:tcPr>
          <w:p>
            <w:pPr>
              <w:pStyle w:val="null3"/>
            </w:pPr>
            <w:r>
              <w:rPr>
                <w:rFonts w:ascii="仿宋_GB2312" w:hAnsi="仿宋_GB2312" w:cs="仿宋_GB2312" w:eastAsia="仿宋_GB2312"/>
              </w:rPr>
              <w:t>拟投入的团队人员配置(项目管理、技术、服务人员)专业合理，人员配备齐全、岗位职责明确。①团队人员配置合理、齐全、清晰计5分；②团队人员配置模糊、人员不齐全、不清晰计的计3分；③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专业技术人员</w:t>
            </w:r>
          </w:p>
        </w:tc>
        <w:tc>
          <w:tcPr>
            <w:tcW w:type="dxa" w:w="2492"/>
          </w:tcPr>
          <w:p>
            <w:pPr>
              <w:pStyle w:val="null3"/>
            </w:pPr>
            <w:r>
              <w:rPr>
                <w:rFonts w:ascii="仿宋_GB2312" w:hAnsi="仿宋_GB2312" w:cs="仿宋_GB2312" w:eastAsia="仿宋_GB2312"/>
              </w:rPr>
              <w:t>拟投入本项目人员有中级或以上技术职称的(提供职称证复印件)，每提供一个计0.5分，最多计5分。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实验室场所</w:t>
            </w:r>
          </w:p>
        </w:tc>
        <w:tc>
          <w:tcPr>
            <w:tcW w:type="dxa" w:w="2492"/>
          </w:tcPr>
          <w:p>
            <w:pPr>
              <w:pStyle w:val="null3"/>
            </w:pPr>
            <w:r>
              <w:rPr>
                <w:rFonts w:ascii="仿宋_GB2312" w:hAnsi="仿宋_GB2312" w:cs="仿宋_GB2312" w:eastAsia="仿宋_GB2312"/>
              </w:rPr>
              <w:t>供应商有实验室且实验场所面积达到5000平方米（含5000平方米）以上的计3分，实验场所面积5000平方米以下的计1分。提供房产证或房屋租赁合同，不提供不计分。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实验室设施配置</w:t>
            </w:r>
          </w:p>
        </w:tc>
        <w:tc>
          <w:tcPr>
            <w:tcW w:type="dxa" w:w="2492"/>
          </w:tcPr>
          <w:p>
            <w:pPr>
              <w:pStyle w:val="null3"/>
            </w:pPr>
            <w:r>
              <w:rPr>
                <w:rFonts w:ascii="仿宋_GB2312" w:hAnsi="仿宋_GB2312" w:cs="仿宋_GB2312" w:eastAsia="仿宋_GB2312"/>
              </w:rPr>
              <w:t>实验室设施配置（配有农产品冷藏样品存储的专用冷库，提供证明材料），冷库面积≥200平米得3分；冷库面积200平米以下得1分，不提供不计分。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实验室认证</w:t>
            </w:r>
          </w:p>
        </w:tc>
        <w:tc>
          <w:tcPr>
            <w:tcW w:type="dxa" w:w="2492"/>
          </w:tcPr>
          <w:p>
            <w:pPr>
              <w:pStyle w:val="null3"/>
            </w:pPr>
            <w:r>
              <w:rPr>
                <w:rFonts w:ascii="仿宋_GB2312" w:hAnsi="仿宋_GB2312" w:cs="仿宋_GB2312" w:eastAsia="仿宋_GB2312"/>
              </w:rPr>
              <w:t>供应商实验室获得CNAS认证计2分，不提供不计分.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检测技术指标认证</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检验项目应当覆盖本次所列参数项目需求。供应商针对拟检验项目检测技术指标通过CMA/CATL认证，符合率100%得6分；符合率95%-99%得4分；符合率90%-94%得2分；低于90%得1分。以取得陕西省当地实验室的能力附表为准。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检验设备</w:t>
            </w:r>
          </w:p>
        </w:tc>
        <w:tc>
          <w:tcPr>
            <w:tcW w:type="dxa" w:w="2492"/>
          </w:tcPr>
          <w:p>
            <w:pPr>
              <w:pStyle w:val="null3"/>
            </w:pPr>
            <w:r>
              <w:rPr>
                <w:rFonts w:ascii="仿宋_GB2312" w:hAnsi="仿宋_GB2312" w:cs="仿宋_GB2312" w:eastAsia="仿宋_GB2312"/>
              </w:rPr>
              <w:t>检验机构具有高效液相色谱仪、气相色谱仪、紫外分光光度计、原子荧光分光光度计、原子吸收光谱仪、气相-质谱联用仪、液相-质谱联用仪、电感耦合等离子质谱仪，同种设备不重复加分，每有一种得0.75分，最多计6分。(供应商提供每台仪器设备的图片及购置发票和有效期内校准证书等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供应商提供2023年1月1日以来同类项目业绩合同，每提供一份，计2分，满分8分。(以合同为准，合同页码较多的可提供首页、合同内容、金额、时间页、双方盖章页即可，弄虚作假者取消其磋商、成交资格。)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1、经符合性审查合格的供应商，其磋商报价为有效磋商报价。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4、磋商报价不完整的，不进入磋商基准价的计算，本项得0分。4、本项目专门面向中小企业采购，不再执行价格评审优惠的扶持政策。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体系技术指导和实验技术指导等方面服务方案响应内容齐全，符合项目要求。①具体工作方案清晰、完整，主要技术措施科学、先进、合理，针对性强，完全满足项目需求计20分；②内容基本齐全、安排基本科学合理、针对性较强，较好满足项目需求计15分；③内容粗略、安排基本科学合理、针对性较弱，基本满足项目需求计10分；④内容不齐全、安排不科学合理、没有针对性，不能满足项目需求计5分；⑤未提供的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针对本项目重点 、 难点分析</w:t>
            </w:r>
          </w:p>
        </w:tc>
        <w:tc>
          <w:tcPr>
            <w:tcW w:type="dxa" w:w="2492"/>
          </w:tcPr>
          <w:p>
            <w:pPr>
              <w:pStyle w:val="null3"/>
            </w:pPr>
            <w:r>
              <w:rPr>
                <w:rFonts w:ascii="仿宋_GB2312" w:hAnsi="仿宋_GB2312" w:cs="仿宋_GB2312" w:eastAsia="仿宋_GB2312"/>
              </w:rPr>
              <w:t>针对本项目服务实施过程中的重点难点分析准确、考虑全面，并有相应解决方案，确保项目服务质量。①方案思路清晰、科学合理、切实可行，完全满足采购人需求计16分；②方案基本完善，可实施性一般计10分；③方案不完善，可实施性较差计5分；④未提供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的工作质量要求的控制、保证体系及保证措施的完善性，工作进度计划安排的合理性进行评价。①质量保证措施及方案详尽合理，切实可行计12分；②质量保证措施及方案基本完整，可行性一般计8分；③质量保证措施及方案不完整，可行性差计4分；④未提供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本项目的实际情况制定具有可操作性的处理突发事件的应急预案，应急方案详细完善、切实可行。①方案合理，可实施性强计11分；②方案基本合理，可实施性较强计7分；③方案不合理，可实施性差计4分；④未提供的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根据本项目拟投入人员的职称、专业、数量、从事类似服务的相关经验等进行赋分。①人员安排有详细规划，团队架构完整，责任清晰，构成合理计13分；②有人员安排规划、团队架构，责任较清晰，构成较合理计8分；③人员安排模糊、责任划分不清晰、配置欠缺计4分；④未提供的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包括服务内容、服务质量、增值服务等，且承诺内容具有可行性。①承诺内容全面、合理、可行性强计10分；②承诺内容较全面、合理、可行性一般计7分；③承诺内容不全面、可行性差计4分；④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供应商提供2023年1月1日以来同类项目业绩合同，每提供一份，计2分，满分8分。(以合同为准，合同页码较多的可提供首页、合同内容、金额、时间页、双方盖章页即可，弄虚作假者取消其磋商、成交资格。)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1、经符合性审查合格的供应商，其磋商报价为有效磋商报价。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4、磋商报价不完整的，不进入磋商基准价的计算，本项得0分。4、本项目专门面向中小企业采购，不再执行价格评审优惠的扶持政策。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