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37327">
      <w:pPr>
        <w:spacing w:line="16835" w:lineRule="exact"/>
      </w:pPr>
      <w:r>
        <w:rPr>
          <w:position w:val="-336"/>
        </w:rPr>
        <w:drawing>
          <wp:inline distT="0" distB="0" distL="0" distR="0">
            <wp:extent cx="7561580" cy="1069022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90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D46CE">
      <w:pPr>
        <w:spacing w:line="16835" w:lineRule="exact"/>
        <w:sectPr>
          <w:headerReference r:id="rId5" w:type="default"/>
          <w:footerReference r:id="rId6" w:type="default"/>
          <w:pgSz w:w="11909" w:h="16849"/>
          <w:pgMar w:top="1" w:right="0" w:bottom="1" w:left="0" w:header="0" w:footer="0" w:gutter="0"/>
          <w:cols w:space="720" w:num="1"/>
        </w:sectPr>
      </w:pPr>
    </w:p>
    <w:p w14:paraId="6D6147D4">
      <w:pPr>
        <w:spacing w:line="249" w:lineRule="auto"/>
        <w:rPr>
          <w:rFonts w:ascii="Arial"/>
          <w:sz w:val="21"/>
        </w:rPr>
      </w:pPr>
    </w:p>
    <w:p w14:paraId="12CC7F23">
      <w:pPr>
        <w:spacing w:line="249" w:lineRule="auto"/>
        <w:rPr>
          <w:rFonts w:ascii="Arial"/>
          <w:sz w:val="21"/>
        </w:rPr>
      </w:pPr>
    </w:p>
    <w:p w14:paraId="33CCE549">
      <w:pPr>
        <w:spacing w:line="249" w:lineRule="auto"/>
        <w:rPr>
          <w:rFonts w:ascii="Arial"/>
          <w:sz w:val="21"/>
        </w:rPr>
      </w:pPr>
    </w:p>
    <w:p w14:paraId="78E7E631">
      <w:pPr>
        <w:spacing w:line="250" w:lineRule="auto"/>
        <w:rPr>
          <w:rFonts w:ascii="Arial"/>
          <w:sz w:val="21"/>
        </w:rPr>
      </w:pPr>
    </w:p>
    <w:p w14:paraId="33CCD2DB">
      <w:pPr>
        <w:spacing w:line="250" w:lineRule="auto"/>
        <w:rPr>
          <w:rFonts w:ascii="Arial"/>
          <w:sz w:val="21"/>
        </w:rPr>
      </w:pPr>
    </w:p>
    <w:p w14:paraId="2FB9991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192" w:lineRule="auto"/>
        <w:ind w:left="536"/>
        <w:textAlignment w:val="baseline"/>
        <w:rPr>
          <w:sz w:val="26"/>
          <w:szCs w:val="26"/>
        </w:rPr>
      </w:pPr>
      <w:r>
        <w:rPr>
          <w:spacing w:val="-17"/>
          <w:sz w:val="26"/>
          <w:szCs w:val="26"/>
        </w:rPr>
        <w:t>工程保修期</w:t>
      </w:r>
      <w:r>
        <w:rPr>
          <w:spacing w:val="-12"/>
          <w:sz w:val="26"/>
          <w:szCs w:val="26"/>
        </w:rPr>
        <w:t xml:space="preserve"> </w:t>
      </w:r>
      <w:r>
        <w:rPr>
          <w:spacing w:val="-17"/>
          <w:sz w:val="26"/>
          <w:szCs w:val="26"/>
        </w:rPr>
        <w:t>：项</w:t>
      </w:r>
      <w:r>
        <w:rPr>
          <w:spacing w:val="-41"/>
          <w:sz w:val="26"/>
          <w:szCs w:val="26"/>
        </w:rPr>
        <w:t xml:space="preserve"> </w:t>
      </w:r>
      <w:r>
        <w:rPr>
          <w:spacing w:val="-17"/>
          <w:sz w:val="26"/>
          <w:szCs w:val="26"/>
        </w:rPr>
        <w:t>目整体验收合格后1年</w:t>
      </w:r>
      <w:r>
        <w:rPr>
          <w:spacing w:val="-45"/>
          <w:sz w:val="26"/>
          <w:szCs w:val="26"/>
        </w:rPr>
        <w:t xml:space="preserve"> </w:t>
      </w:r>
      <w:r>
        <w:rPr>
          <w:spacing w:val="-17"/>
          <w:sz w:val="26"/>
          <w:szCs w:val="26"/>
        </w:rPr>
        <w:t>,</w:t>
      </w:r>
    </w:p>
    <w:p w14:paraId="37C8AC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4C8171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6" w:line="192" w:lineRule="auto"/>
        <w:ind w:left="71"/>
        <w:textAlignment w:val="baseline"/>
        <w:outlineLvl w:val="0"/>
        <w:rPr>
          <w:rFonts w:hint="eastAsia" w:eastAsia="微软雅黑"/>
          <w:lang w:eastAsia="zh-CN"/>
        </w:rPr>
      </w:pPr>
      <w:r>
        <w:rPr>
          <w:spacing w:val="-21"/>
          <w:w w:val="96"/>
        </w:rPr>
        <w:t>四、合同</w:t>
      </w:r>
      <w:r>
        <w:rPr>
          <w:rFonts w:hint="eastAsia"/>
          <w:spacing w:val="-21"/>
          <w:w w:val="96"/>
          <w:lang w:val="en-US" w:eastAsia="zh-CN"/>
        </w:rPr>
        <w:t>价款</w:t>
      </w:r>
    </w:p>
    <w:p w14:paraId="55E619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0E3C6B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6" w:line="192" w:lineRule="auto"/>
        <w:ind w:left="554"/>
        <w:textAlignment w:val="baseline"/>
      </w:pPr>
      <w:r>
        <w:rPr>
          <w:spacing w:val="-16"/>
          <w:w w:val="95"/>
        </w:rPr>
        <w:t>1、本合同价款采用</w:t>
      </w:r>
      <w:bookmarkStart w:id="0" w:name="_GoBack"/>
      <w:r>
        <w:rPr>
          <w:spacing w:val="-16"/>
          <w:w w:val="95"/>
        </w:rPr>
        <w:t>固定单价</w:t>
      </w:r>
      <w:bookmarkEnd w:id="0"/>
      <w:r>
        <w:rPr>
          <w:spacing w:val="-16"/>
          <w:w w:val="95"/>
        </w:rPr>
        <w:t>合同方式确定。</w:t>
      </w:r>
    </w:p>
    <w:p w14:paraId="45084C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653A6E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192" w:lineRule="auto"/>
        <w:ind w:left="551"/>
        <w:textAlignment w:val="baseline"/>
      </w:pPr>
      <w:r>
        <w:rPr>
          <w:spacing w:val="-25"/>
          <w:sz w:val="28"/>
          <w:szCs w:val="28"/>
        </w:rPr>
        <w:t xml:space="preserve">2、该工程总价为          </w:t>
      </w:r>
      <w:r>
        <w:rPr>
          <w:spacing w:val="-25"/>
        </w:rPr>
        <w:t>元</w:t>
      </w:r>
      <w:r>
        <w:rPr>
          <w:spacing w:val="-31"/>
        </w:rPr>
        <w:t xml:space="preserve"> </w:t>
      </w:r>
      <w:r>
        <w:rPr>
          <w:spacing w:val="-25"/>
        </w:rPr>
        <w:t>，大写</w:t>
      </w:r>
      <w:r>
        <w:rPr>
          <w:spacing w:val="-37"/>
        </w:rPr>
        <w:t xml:space="preserve"> </w:t>
      </w:r>
      <w:r>
        <w:rPr>
          <w:spacing w:val="-25"/>
        </w:rPr>
        <w:t>：</w:t>
      </w:r>
    </w:p>
    <w:p w14:paraId="776F42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2C396067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192" w:lineRule="auto"/>
        <w:ind w:left="551"/>
        <w:textAlignment w:val="baseline"/>
        <w:rPr>
          <w:spacing w:val="-28"/>
          <w:sz w:val="28"/>
          <w:szCs w:val="28"/>
        </w:rPr>
      </w:pPr>
      <w:r>
        <w:rPr>
          <w:spacing w:val="-28"/>
          <w:sz w:val="28"/>
          <w:szCs w:val="28"/>
        </w:rPr>
        <w:t>付款方式</w:t>
      </w:r>
      <w:r>
        <w:rPr>
          <w:spacing w:val="-45"/>
          <w:sz w:val="28"/>
          <w:szCs w:val="28"/>
        </w:rPr>
        <w:t xml:space="preserve"> </w:t>
      </w:r>
      <w:r>
        <w:rPr>
          <w:spacing w:val="-28"/>
          <w:sz w:val="28"/>
          <w:szCs w:val="28"/>
        </w:rPr>
        <w:t>：</w:t>
      </w:r>
    </w:p>
    <w:p w14:paraId="068FC6E8">
      <w:pPr>
        <w:pStyle w:val="2"/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192" w:lineRule="auto"/>
        <w:ind w:firstLine="448" w:firstLineChars="200"/>
        <w:textAlignment w:val="baseline"/>
        <w:rPr>
          <w:rFonts w:hint="eastAsia"/>
          <w:spacing w:val="-28"/>
          <w:sz w:val="28"/>
          <w:szCs w:val="28"/>
        </w:rPr>
      </w:pPr>
      <w:r>
        <w:rPr>
          <w:rFonts w:hint="eastAsia"/>
          <w:spacing w:val="-28"/>
          <w:sz w:val="28"/>
          <w:szCs w:val="28"/>
        </w:rPr>
        <w:t>1</w:t>
      </w:r>
      <w:r>
        <w:rPr>
          <w:rFonts w:hint="eastAsia"/>
          <w:spacing w:val="-28"/>
          <w:sz w:val="28"/>
          <w:szCs w:val="28"/>
          <w:lang w:eastAsia="zh-CN"/>
        </w:rPr>
        <w:t>）</w:t>
      </w:r>
      <w:r>
        <w:rPr>
          <w:rFonts w:hint="eastAsia"/>
          <w:spacing w:val="-28"/>
          <w:sz w:val="28"/>
          <w:szCs w:val="28"/>
        </w:rPr>
        <w:t>.工程款支付：按照序时进度拨付，合同签订后支付总价款的30%作为启动资金，待项目实施进度达到50%支付总价款至70%，项目完工支付总价款至90%，结算审计完成后支付剩余资金。质保金为合同价款的3%，质保期满1年经验收合格后甲方予以返还。</w:t>
      </w:r>
    </w:p>
    <w:p w14:paraId="0388D07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192" w:lineRule="auto"/>
        <w:ind w:left="551"/>
        <w:textAlignment w:val="baseline"/>
        <w:rPr>
          <w:rFonts w:hint="eastAsia"/>
          <w:spacing w:val="-28"/>
          <w:sz w:val="28"/>
          <w:szCs w:val="28"/>
        </w:rPr>
      </w:pPr>
      <w:r>
        <w:rPr>
          <w:rFonts w:hint="eastAsia"/>
          <w:spacing w:val="-28"/>
          <w:sz w:val="28"/>
          <w:szCs w:val="28"/>
        </w:rPr>
        <w:t>2</w:t>
      </w:r>
      <w:r>
        <w:rPr>
          <w:rFonts w:hint="eastAsia"/>
          <w:spacing w:val="-28"/>
          <w:sz w:val="28"/>
          <w:szCs w:val="28"/>
          <w:lang w:eastAsia="zh-CN"/>
        </w:rPr>
        <w:t>）</w:t>
      </w:r>
      <w:r>
        <w:rPr>
          <w:rFonts w:hint="eastAsia"/>
          <w:spacing w:val="-28"/>
          <w:sz w:val="28"/>
          <w:szCs w:val="28"/>
        </w:rPr>
        <w:t>.结算方式：银行转账。</w:t>
      </w:r>
    </w:p>
    <w:p w14:paraId="5694FB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192" w:lineRule="auto"/>
        <w:ind w:left="551"/>
        <w:textAlignment w:val="baseline"/>
        <w:rPr>
          <w:rFonts w:hint="eastAsia" w:eastAsia="微软雅黑"/>
          <w:sz w:val="28"/>
          <w:szCs w:val="28"/>
          <w:lang w:eastAsia="zh-CN"/>
        </w:rPr>
      </w:pPr>
      <w:r>
        <w:rPr>
          <w:rFonts w:hint="eastAsia"/>
          <w:spacing w:val="-28"/>
          <w:sz w:val="28"/>
          <w:szCs w:val="28"/>
        </w:rPr>
        <w:t>3</w:t>
      </w:r>
      <w:r>
        <w:rPr>
          <w:rFonts w:hint="eastAsia"/>
          <w:spacing w:val="-28"/>
          <w:sz w:val="28"/>
          <w:szCs w:val="28"/>
          <w:lang w:eastAsia="zh-CN"/>
        </w:rPr>
        <w:t>）</w:t>
      </w:r>
      <w:r>
        <w:rPr>
          <w:rFonts w:hint="eastAsia"/>
          <w:spacing w:val="-28"/>
          <w:sz w:val="28"/>
          <w:szCs w:val="28"/>
        </w:rPr>
        <w:t>.付款方式：乙方在接受付款前，开具相应额度发票给甲方。</w:t>
      </w:r>
    </w:p>
    <w:p w14:paraId="0FDF26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010913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02615DB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192" w:lineRule="auto"/>
        <w:ind w:left="530"/>
        <w:textAlignment w:val="baseline"/>
        <w:rPr>
          <w:sz w:val="28"/>
          <w:szCs w:val="28"/>
        </w:rPr>
      </w:pPr>
      <w:r>
        <w:rPr>
          <w:spacing w:val="-14"/>
          <w:w w:val="92"/>
          <w:sz w:val="28"/>
          <w:szCs w:val="28"/>
        </w:rPr>
        <w:t>五、合同主要条歉</w:t>
      </w:r>
    </w:p>
    <w:p w14:paraId="6B7E2F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4C3017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192" w:lineRule="auto"/>
        <w:jc w:val="right"/>
        <w:textAlignment w:val="baseline"/>
      </w:pPr>
      <w:r>
        <w:rPr>
          <w:spacing w:val="-15"/>
          <w:w w:val="93"/>
        </w:rPr>
        <w:t>按磋商文件、《中华人民共和国民法典》等有关规定要求，同时补充以下内</w:t>
      </w:r>
    </w:p>
    <w:p w14:paraId="2F05D0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2949336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6" w:line="192" w:lineRule="auto"/>
        <w:ind w:left="60"/>
        <w:textAlignment w:val="baseline"/>
        <w:rPr>
          <w:sz w:val="26"/>
          <w:szCs w:val="26"/>
        </w:rPr>
      </w:pPr>
      <w:r>
        <w:rPr>
          <w:spacing w:val="-23"/>
        </w:rPr>
        <w:t>容</w:t>
      </w:r>
      <w:r>
        <w:rPr>
          <w:spacing w:val="-23"/>
          <w:position w:val="1"/>
          <w:sz w:val="26"/>
          <w:szCs w:val="26"/>
        </w:rPr>
        <w:t>：</w:t>
      </w:r>
    </w:p>
    <w:p w14:paraId="4E4F5E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79E760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6" w:line="192" w:lineRule="auto"/>
        <w:jc w:val="right"/>
        <w:textAlignment w:val="baseline"/>
      </w:pPr>
      <w:r>
        <w:rPr>
          <w:spacing w:val="-20"/>
          <w:w w:val="97"/>
        </w:rPr>
        <w:t>1</w:t>
      </w:r>
      <w:r>
        <w:rPr>
          <w:spacing w:val="-31"/>
        </w:rPr>
        <w:t xml:space="preserve"> </w:t>
      </w:r>
      <w:r>
        <w:rPr>
          <w:spacing w:val="-20"/>
          <w:w w:val="97"/>
        </w:rPr>
        <w:t>、中标单位未经采购人及有关部</w:t>
      </w:r>
      <w:r>
        <w:rPr>
          <w:spacing w:val="-19"/>
          <w:w w:val="97"/>
        </w:rPr>
        <w:t>门同意 ，不得擅自变更本项目在投标</w:t>
      </w:r>
      <w:r>
        <w:rPr>
          <w:spacing w:val="-4"/>
          <w:w w:val="97"/>
        </w:rPr>
        <w:t>承</w:t>
      </w:r>
    </w:p>
    <w:p w14:paraId="3E6F36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3ECCE8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192" w:lineRule="auto"/>
        <w:jc w:val="right"/>
        <w:textAlignment w:val="baseline"/>
      </w:pPr>
      <w:r>
        <w:rPr>
          <w:spacing w:val="-19"/>
          <w:w w:val="97"/>
        </w:rPr>
        <w:t>诺中认定的改造范围、施工</w:t>
      </w:r>
      <w:r>
        <w:rPr>
          <w:spacing w:val="-18"/>
          <w:w w:val="97"/>
        </w:rPr>
        <w:t xml:space="preserve">组织方案和项目负责人 </w:t>
      </w:r>
      <w:r>
        <w:rPr>
          <w:spacing w:val="-19"/>
          <w:w w:val="97"/>
        </w:rPr>
        <w:t xml:space="preserve"> (项目经理</w:t>
      </w:r>
      <w:r>
        <w:rPr>
          <w:spacing w:val="-27"/>
        </w:rPr>
        <w:t xml:space="preserve"> </w:t>
      </w:r>
      <w:r>
        <w:rPr>
          <w:spacing w:val="-19"/>
          <w:w w:val="97"/>
        </w:rPr>
        <w:t>，响应文件中</w:t>
      </w:r>
      <w:r>
        <w:rPr>
          <w:spacing w:val="-7"/>
          <w:w w:val="97"/>
        </w:rPr>
        <w:t>应</w:t>
      </w:r>
    </w:p>
    <w:p w14:paraId="234B58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67A325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77DC0E3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6" w:line="192" w:lineRule="auto"/>
        <w:ind w:left="62"/>
        <w:textAlignment w:val="baseline"/>
      </w:pPr>
      <w:r>
        <w:rPr>
          <w:spacing w:val="-14"/>
          <w:w w:val="94"/>
        </w:rPr>
        <w:t>明确项目经理的姓名及联系方法</w:t>
      </w:r>
      <w:r>
        <w:rPr>
          <w:spacing w:val="-21"/>
        </w:rPr>
        <w:t xml:space="preserve"> </w:t>
      </w:r>
      <w:r>
        <w:rPr>
          <w:spacing w:val="-14"/>
          <w:w w:val="94"/>
        </w:rPr>
        <w:t>，以备检查)</w:t>
      </w:r>
      <w:r>
        <w:rPr>
          <w:spacing w:val="46"/>
        </w:rPr>
        <w:t xml:space="preserve"> </w:t>
      </w:r>
      <w:r>
        <w:rPr>
          <w:spacing w:val="-14"/>
          <w:w w:val="94"/>
        </w:rPr>
        <w:t>。</w:t>
      </w:r>
    </w:p>
    <w:p w14:paraId="62F2D2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7475FB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192" w:lineRule="auto"/>
        <w:jc w:val="right"/>
        <w:textAlignment w:val="baseline"/>
      </w:pPr>
      <w:r>
        <w:rPr>
          <w:spacing w:val="-20"/>
          <w:w w:val="97"/>
        </w:rPr>
        <w:t xml:space="preserve">2、中标单位必须自行施工 </w:t>
      </w:r>
      <w:r>
        <w:rPr>
          <w:spacing w:val="-19"/>
          <w:w w:val="97"/>
        </w:rPr>
        <w:t>，不得转包。为了确保工程质量</w:t>
      </w:r>
      <w:r>
        <w:rPr>
          <w:spacing w:val="-20"/>
          <w:w w:val="97"/>
        </w:rPr>
        <w:t xml:space="preserve"> ，中标单位</w:t>
      </w:r>
      <w:r>
        <w:rPr>
          <w:spacing w:val="-7"/>
          <w:w w:val="97"/>
        </w:rPr>
        <w:t>应</w:t>
      </w:r>
    </w:p>
    <w:p w14:paraId="2775E5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3CD89C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192" w:lineRule="auto"/>
        <w:ind w:left="53"/>
        <w:textAlignment w:val="baseline"/>
        <w:rPr>
          <w:sz w:val="28"/>
          <w:szCs w:val="28"/>
        </w:rPr>
      </w:pPr>
      <w:r>
        <w:rPr>
          <w:spacing w:val="-11"/>
          <w:w w:val="89"/>
          <w:sz w:val="28"/>
          <w:szCs w:val="28"/>
        </w:rPr>
        <w:t>组织一支强有力的技术骨干队伍</w:t>
      </w:r>
      <w:r>
        <w:rPr>
          <w:spacing w:val="-35"/>
          <w:sz w:val="28"/>
          <w:szCs w:val="28"/>
        </w:rPr>
        <w:t xml:space="preserve"> </w:t>
      </w:r>
      <w:r>
        <w:rPr>
          <w:spacing w:val="-11"/>
          <w:w w:val="89"/>
          <w:sz w:val="28"/>
          <w:szCs w:val="28"/>
        </w:rPr>
        <w:t>，建立严格的质</w:t>
      </w:r>
      <w:r>
        <w:rPr>
          <w:spacing w:val="-12"/>
          <w:w w:val="89"/>
          <w:sz w:val="28"/>
          <w:szCs w:val="28"/>
        </w:rPr>
        <w:t>量管理体系</w:t>
      </w:r>
      <w:r>
        <w:rPr>
          <w:spacing w:val="-30"/>
          <w:sz w:val="28"/>
          <w:szCs w:val="28"/>
        </w:rPr>
        <w:t xml:space="preserve"> </w:t>
      </w:r>
      <w:r>
        <w:rPr>
          <w:spacing w:val="-12"/>
          <w:w w:val="89"/>
          <w:sz w:val="28"/>
          <w:szCs w:val="28"/>
        </w:rPr>
        <w:t>，规范操作。</w:t>
      </w:r>
    </w:p>
    <w:p w14:paraId="381C94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20915E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6" w:line="192" w:lineRule="auto"/>
        <w:jc w:val="right"/>
        <w:textAlignment w:val="baseline"/>
      </w:pPr>
      <w:r>
        <w:rPr>
          <w:spacing w:val="-16"/>
          <w:w w:val="98"/>
        </w:rPr>
        <w:t>3、中标单位如确因  (不</w:t>
      </w:r>
      <w:r>
        <w:rPr>
          <w:spacing w:val="-15"/>
          <w:w w:val="98"/>
        </w:rPr>
        <w:t>可抗拒)  工程实际情况发生变化或其他因素造</w:t>
      </w:r>
      <w:r>
        <w:rPr>
          <w:spacing w:val="-2"/>
          <w:w w:val="98"/>
        </w:rPr>
        <w:t>成</w:t>
      </w:r>
    </w:p>
    <w:p w14:paraId="432BA2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67D8C8F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rFonts w:ascii="Arial"/>
          <w:sz w:val="21"/>
        </w:rPr>
      </w:pPr>
    </w:p>
    <w:p w14:paraId="5331B7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192" w:lineRule="auto"/>
        <w:jc w:val="right"/>
        <w:textAlignment w:val="baseline"/>
        <w:rPr>
          <w:sz w:val="28"/>
          <w:szCs w:val="28"/>
        </w:rPr>
      </w:pPr>
      <w:r>
        <w:rPr>
          <w:spacing w:val="-18"/>
          <w:w w:val="91"/>
          <w:sz w:val="28"/>
          <w:szCs w:val="28"/>
        </w:rPr>
        <w:t>需对方案进行修改、完善、补</w:t>
      </w:r>
      <w:r>
        <w:rPr>
          <w:spacing w:val="-17"/>
          <w:w w:val="91"/>
          <w:sz w:val="28"/>
          <w:szCs w:val="28"/>
        </w:rPr>
        <w:t>充时</w:t>
      </w:r>
      <w:r>
        <w:rPr>
          <w:spacing w:val="-16"/>
          <w:sz w:val="28"/>
          <w:szCs w:val="28"/>
        </w:rPr>
        <w:t xml:space="preserve"> </w:t>
      </w:r>
      <w:r>
        <w:rPr>
          <w:spacing w:val="-17"/>
          <w:w w:val="91"/>
          <w:sz w:val="28"/>
          <w:szCs w:val="28"/>
        </w:rPr>
        <w:t>，需同采购人商定</w:t>
      </w:r>
      <w:r>
        <w:rPr>
          <w:spacing w:val="-47"/>
          <w:sz w:val="28"/>
          <w:szCs w:val="28"/>
        </w:rPr>
        <w:t xml:space="preserve"> </w:t>
      </w:r>
      <w:r>
        <w:rPr>
          <w:spacing w:val="-17"/>
          <w:w w:val="91"/>
          <w:sz w:val="28"/>
          <w:szCs w:val="28"/>
        </w:rPr>
        <w:t>。因此发生的费用</w:t>
      </w:r>
      <w:r>
        <w:rPr>
          <w:spacing w:val="-22"/>
          <w:sz w:val="28"/>
          <w:szCs w:val="28"/>
        </w:rPr>
        <w:t xml:space="preserve"> </w:t>
      </w:r>
      <w:r>
        <w:rPr>
          <w:spacing w:val="-17"/>
          <w:w w:val="91"/>
          <w:sz w:val="28"/>
          <w:szCs w:val="28"/>
        </w:rPr>
        <w:t>，由</w:t>
      </w:r>
      <w:r>
        <w:rPr>
          <w:spacing w:val="-4"/>
          <w:w w:val="91"/>
          <w:sz w:val="28"/>
          <w:szCs w:val="28"/>
        </w:rPr>
        <w:t>双</w:t>
      </w:r>
    </w:p>
    <w:p w14:paraId="79013B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2" w:lineRule="auto"/>
        <w:textAlignment w:val="baseline"/>
        <w:rPr>
          <w:sz w:val="28"/>
          <w:szCs w:val="28"/>
        </w:rPr>
        <w:sectPr>
          <w:pgSz w:w="11909" w:h="16849"/>
          <w:pgMar w:top="400" w:right="1786" w:bottom="400" w:left="1786" w:header="0" w:footer="0" w:gutter="0"/>
          <w:cols w:space="720" w:num="1"/>
        </w:sectPr>
      </w:pPr>
    </w:p>
    <w:p w14:paraId="0C68609D">
      <w:pPr>
        <w:spacing w:line="16835" w:lineRule="exact"/>
      </w:pPr>
      <w:r>
        <w:rPr>
          <w:position w:val="-336"/>
        </w:rPr>
        <w:drawing>
          <wp:inline distT="0" distB="0" distL="0" distR="0">
            <wp:extent cx="7561580" cy="1069022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90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3AB4C">
      <w:pPr>
        <w:spacing w:line="16835" w:lineRule="exact"/>
        <w:sectPr>
          <w:pgSz w:w="11909" w:h="16849"/>
          <w:pgMar w:top="1" w:right="0" w:bottom="1" w:left="0" w:header="0" w:footer="0" w:gutter="0"/>
          <w:cols w:space="720" w:num="1"/>
        </w:sectPr>
      </w:pPr>
    </w:p>
    <w:p w14:paraId="6AE7E9CD">
      <w:pPr>
        <w:spacing w:line="16835" w:lineRule="exact"/>
      </w:pPr>
      <w:r>
        <w:rPr>
          <w:position w:val="-336"/>
        </w:rPr>
        <w:drawing>
          <wp:inline distT="0" distB="0" distL="0" distR="0">
            <wp:extent cx="7561580" cy="1069022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90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FA4B2">
      <w:pPr>
        <w:spacing w:line="16835" w:lineRule="exact"/>
        <w:sectPr>
          <w:pgSz w:w="11909" w:h="16849"/>
          <w:pgMar w:top="1" w:right="0" w:bottom="1" w:left="0" w:header="0" w:footer="0" w:gutter="0"/>
          <w:cols w:space="720" w:num="1"/>
        </w:sectPr>
      </w:pPr>
    </w:p>
    <w:p w14:paraId="68ADD419">
      <w:pPr>
        <w:spacing w:line="16835" w:lineRule="exact"/>
      </w:pPr>
      <w:r>
        <w:rPr>
          <w:position w:val="-336"/>
        </w:rPr>
        <w:drawing>
          <wp:inline distT="0" distB="0" distL="0" distR="0">
            <wp:extent cx="7561580" cy="1069022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90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40A83">
      <w:pPr>
        <w:spacing w:line="16835" w:lineRule="exact"/>
        <w:sectPr>
          <w:pgSz w:w="11909" w:h="16849"/>
          <w:pgMar w:top="1" w:right="0" w:bottom="1" w:left="0" w:header="0" w:footer="0" w:gutter="0"/>
          <w:cols w:space="720" w:num="1"/>
        </w:sectPr>
      </w:pPr>
    </w:p>
    <w:p w14:paraId="2EE02A5E">
      <w:pPr>
        <w:spacing w:line="16835" w:lineRule="exact"/>
      </w:pPr>
      <w:r>
        <w:rPr>
          <w:position w:val="-336"/>
        </w:rPr>
        <w:drawing>
          <wp:inline distT="0" distB="0" distL="0" distR="0">
            <wp:extent cx="7561580" cy="1069022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90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8936C">
      <w:pPr>
        <w:spacing w:line="16835" w:lineRule="exact"/>
        <w:sectPr>
          <w:pgSz w:w="11909" w:h="16849"/>
          <w:pgMar w:top="1" w:right="0" w:bottom="1" w:left="0" w:header="0" w:footer="0" w:gutter="0"/>
          <w:cols w:space="720" w:num="1"/>
        </w:sectPr>
      </w:pPr>
    </w:p>
    <w:p w14:paraId="690209BF">
      <w:pPr>
        <w:spacing w:line="16835" w:lineRule="exact"/>
      </w:pPr>
      <w:r>
        <w:rPr>
          <w:position w:val="-336"/>
        </w:rPr>
        <w:drawing>
          <wp:inline distT="0" distB="0" distL="0" distR="0">
            <wp:extent cx="7561580" cy="1069022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90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9" w:h="16849"/>
      <w:pgMar w:top="1" w:right="0" w:bottom="1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0EA46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1B1EA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56E636"/>
    <w:multiLevelType w:val="singleLevel"/>
    <w:tmpl w:val="D456E636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0CE3F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7"/>
      <w:szCs w:val="27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324</Words>
  <Characters>324</Characters>
  <TotalTime>1</TotalTime>
  <ScaleCrop>false</ScaleCrop>
  <LinksUpToDate>false</LinksUpToDate>
  <CharactersWithSpaces>358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2025-09-15T12:49:00Z</dcterms:created>
  <dc:creator>Admin</dc:creator>
  <cp:lastModifiedBy>柏子</cp:lastModifiedBy>
  <dcterms:modified xsi:type="dcterms:W3CDTF">2025-09-15T04:55:02Z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2025-09-15T12:52:47Z</vt:filetime>
  </property>
  <property fmtid="{D5CDD505-2E9C-101B-9397-08002B2CF9AE}" pid="4" name="KSOTemplateDocerSaveRecord">
    <vt:lpwstr>eyJoZGlkIjoiOWY1NTM1MTI5YjExNTlmNTBhMTk5M2QzNDFlZjQyYzMiLCJ1c2VySWQiOiI0Mzg1MTk2ODAifQ==</vt:lpwstr>
  </property>
  <property fmtid="{D5CDD505-2E9C-101B-9397-08002B2CF9AE}" pid="5" name="KSOProductBuildVer">
    <vt:lpwstr>2052-12.1.0.22529</vt:lpwstr>
  </property>
  <property fmtid="{D5CDD505-2E9C-101B-9397-08002B2CF9AE}" pid="6" name="ICV">
    <vt:lpwstr>373678A60CEF4C60947FC2AEE5F14D8E_12</vt:lpwstr>
  </property>
</Properties>
</file>