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版本号：SXZHZB2025-ZC035-CS20250915001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太乙宫街道沙场村、四皓村、太乙村、新一村中央扶持发展新型农村集体经济项目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SXZHZB2025-ZC035-CS</w:t>
      </w:r>
      <w:r>
        <w:br/>
      </w:r>
      <w:r>
        <w:br/>
      </w:r>
      <w:r>
        <w:br/>
      </w:r>
    </w:p>
    <w:p>
      <w:pPr>
        <w:pStyle w:val="null3"/>
        <w:jc w:val="center"/>
        <w:outlineLvl w:val="2"/>
      </w:pPr>
      <w:r>
        <w:rPr>
          <w:rFonts w:ascii="仿宋_GB2312" w:hAnsi="仿宋_GB2312" w:cs="仿宋_GB2312" w:eastAsia="仿宋_GB2312"/>
          <w:sz w:val="28"/>
          <w:b/>
        </w:rPr>
        <w:t>西安市长安区农业农村局</w:t>
      </w:r>
    </w:p>
    <w:p>
      <w:pPr>
        <w:pStyle w:val="null3"/>
        <w:jc w:val="center"/>
        <w:outlineLvl w:val="2"/>
      </w:pPr>
      <w:r>
        <w:rPr>
          <w:rFonts w:ascii="仿宋_GB2312" w:hAnsi="仿宋_GB2312" w:cs="仿宋_GB2312" w:eastAsia="仿宋_GB2312"/>
          <w:sz w:val="28"/>
          <w:b/>
        </w:rPr>
        <w:t>陕西纵横项目管理有限公司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陕西纵横项目管理有限公司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西安市长安区农业农村局</w:t>
      </w:r>
      <w:r>
        <w:rPr>
          <w:rFonts w:ascii="仿宋_GB2312" w:hAnsi="仿宋_GB2312" w:cs="仿宋_GB2312" w:eastAsia="仿宋_GB2312"/>
        </w:rPr>
        <w:t>委托，拟对</w:t>
      </w:r>
      <w:r>
        <w:rPr>
          <w:rFonts w:ascii="仿宋_GB2312" w:hAnsi="仿宋_GB2312" w:cs="仿宋_GB2312" w:eastAsia="仿宋_GB2312"/>
        </w:rPr>
        <w:t>太乙宫街道沙场村、四皓村、太乙村、新一村中央扶持发展新型农村集体经济项目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SXZHZB2025-ZC035-CS</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太乙宫街道沙场村、四皓村、太乙村、新一村中央扶持发展新型农村集体经济项目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本项目位于西安市长安区太乙宫街道。文洛式屋脊玻璃温室。建筑面积2433.66㎡，基底面积2809.36㎡，地上一层。单层轻钢结构，屋面采用桁架屋架。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采购包1（太乙宫街道沙场村、四皓村、太乙村、新一村中央扶持发展新型农村集体经济项目）：属于专门面向中小企业采购。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2、拟派项目经理资质和专业要求：拟派项目经理具备建筑工程专业注册建造师二级及以上执业资格及其本人具有有效的安全生产考核合格证（建安B证），在本单位注册且无在建工程；</w:t>
      </w:r>
    </w:p>
    <w:p>
      <w:pPr>
        <w:pStyle w:val="null3"/>
      </w:pPr>
      <w:r>
        <w:rPr>
          <w:rFonts w:ascii="仿宋_GB2312" w:hAnsi="仿宋_GB2312" w:cs="仿宋_GB2312" w:eastAsia="仿宋_GB2312"/>
        </w:rPr>
        <w:t>3、资格证书：供应商须具备建设行政主管部门颁发的钢结构施工专业承包三级及以上资质，且具备合格有效的安全生产许可证；</w:t>
      </w:r>
    </w:p>
    <w:p>
      <w:pPr>
        <w:pStyle w:val="null3"/>
      </w:pPr>
      <w:r>
        <w:rPr>
          <w:rFonts w:ascii="仿宋_GB2312" w:hAnsi="仿宋_GB2312" w:cs="仿宋_GB2312" w:eastAsia="仿宋_GB2312"/>
        </w:rPr>
        <w:t>4、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pPr>
        <w:pStyle w:val="null3"/>
      </w:pPr>
      <w:r>
        <w:rPr>
          <w:rFonts w:ascii="仿宋_GB2312" w:hAnsi="仿宋_GB2312" w:cs="仿宋_GB2312" w:eastAsia="仿宋_GB2312"/>
        </w:rPr>
        <w:t>5、联合体：本项目不接受联合体磋商。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长安区韦曲街道西长安街669号西楼710号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029-84193052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陕西纵横项目管理有限公司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西安市经开区凤城五路赛高街区A座902室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029-86252018（转804）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采购包1：2,691,922.20元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代理服务费收费标准：1、成交单位在领取成交通知书前，须向采购代理机构支付服务费。 2、服务费由采购人与采购代理机构约定：参照国家计委颁发的《招标代理服务收费管理暂行办法》（计价格〔2002〕1980号）和财政部颁发的《政府采购代理机构管理暂行办法》（财库〔2018〕2号）的有关规定执行。 3、成交单位的代理服务费交纳信息 开户名称：陕西纵横项目管理有限公司 开户银行：浙商银行股份有限公司西安未央路支行 账 号：7910000610120100029478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西安市长安区农业农村局</w:t>
      </w:r>
      <w:r>
        <w:rPr>
          <w:rFonts w:ascii="仿宋_GB2312" w:hAnsi="仿宋_GB2312" w:cs="仿宋_GB2312" w:eastAsia="仿宋_GB2312"/>
        </w:rPr>
        <w:t>和</w:t>
      </w:r>
      <w:r>
        <w:rPr>
          <w:rFonts w:ascii="仿宋_GB2312" w:hAnsi="仿宋_GB2312" w:cs="仿宋_GB2312" w:eastAsia="仿宋_GB2312"/>
        </w:rPr>
        <w:t>陕西纵横项目管理有限公司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陕西纵横项目管理有限公司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陕西纵横项目管理有限公司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一、成交供应商：合格。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联系电话：029-86252018</w:t>
      </w:r>
    </w:p>
    <w:p>
      <w:pPr>
        <w:pStyle w:val="null3"/>
      </w:pPr>
      <w:r>
        <w:rPr>
          <w:rFonts w:ascii="仿宋_GB2312" w:hAnsi="仿宋_GB2312" w:cs="仿宋_GB2312" w:eastAsia="仿宋_GB2312"/>
        </w:rPr>
        <w:t>地址：西安市经开区凤城五路赛高街区A座902室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2,691,922.20</w:t>
      </w:r>
    </w:p>
    <w:p>
      <w:pPr>
        <w:pStyle w:val="null3"/>
      </w:pPr>
      <w:r>
        <w:rPr>
          <w:rFonts w:ascii="仿宋_GB2312" w:hAnsi="仿宋_GB2312" w:cs="仿宋_GB2312" w:eastAsia="仿宋_GB2312"/>
        </w:rPr>
        <w:t>采购包最高限价（元）: 2,691,922.20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太乙宫街道沙场村、四皓村、太乙村、新一村中央扶持发展新型农村集体经济项目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2,691,922.20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标的名称：太乙宫街道沙场村、四皓村、太乙村、新一村中央扶持发展新型农村集体经济项目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1、项目概况及采购内容：本项目位于西安市长安区太乙宫街道。文洛式屋脊玻璃温室。建筑面积2433.66㎡，基底面积2809.36㎡，地上一层。单层轻钢结构，屋面采用桁架屋架。</w:t>
            </w:r>
          </w:p>
          <w:p>
            <w:pPr>
              <w:pStyle w:val="null3"/>
            </w:pPr>
            <w:r>
              <w:rPr>
                <w:rFonts w:ascii="仿宋_GB2312" w:hAnsi="仿宋_GB2312" w:cs="仿宋_GB2312" w:eastAsia="仿宋_GB2312"/>
              </w:rPr>
              <w:t>2、计划工期：自合同签订之日起150日历天。</w:t>
            </w:r>
          </w:p>
          <w:p>
            <w:pPr>
              <w:pStyle w:val="null3"/>
            </w:pPr>
            <w:r>
              <w:rPr>
                <w:rFonts w:ascii="仿宋_GB2312" w:hAnsi="仿宋_GB2312" w:cs="仿宋_GB2312" w:eastAsia="仿宋_GB2312"/>
              </w:rPr>
              <w:t>3、施工地点：本项目位于西安市长安区太乙宫街道。</w:t>
            </w:r>
          </w:p>
          <w:p>
            <w:pPr>
              <w:pStyle w:val="null3"/>
            </w:pPr>
            <w:r>
              <w:rPr>
                <w:rFonts w:ascii="仿宋_GB2312" w:hAnsi="仿宋_GB2312" w:cs="仿宋_GB2312" w:eastAsia="仿宋_GB2312"/>
              </w:rPr>
              <w:t>4、质量标准：合格。</w:t>
            </w:r>
          </w:p>
          <w:p>
            <w:pPr>
              <w:pStyle w:val="null3"/>
            </w:pPr>
            <w:r>
              <w:rPr>
                <w:rFonts w:ascii="仿宋_GB2312" w:hAnsi="仿宋_GB2312" w:cs="仿宋_GB2312" w:eastAsia="仿宋_GB2312"/>
              </w:rPr>
              <w:t>5、缺陷责任期（工程质量保修期）：工程竣工验收合格后2 年，成交人承诺的质保期起始时间为终验合格之日。</w:t>
            </w:r>
          </w:p>
          <w:p>
            <w:pPr>
              <w:pStyle w:val="null3"/>
              <w:jc w:val="both"/>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在施工期间，中标供应商必须严格按照治污减霾相关要求施工，并加强安全措施，并对施工人员进行安全教育，施工人员必须持证上岗。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合同价款应是采购范围内全部工作内容的价格体现。包括人工费、材料费、机械费、设备费、安装费、管理费、社保费、成交代理服务费、税金等其他一切相关费用。供应商所报的价格应考虑到可能发生的所有与完成本项目相关服务及履行合同义务有关的一切费用。任何有选择的报价将不予接受，按无效磋商处理。 （2）项目属性：工程。 （3）本项目所属行业为：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（4）履约验收：涉及履约验收的，验收费用由中标人支付，费用标准按中标金额的5‰计算，不足5000元的，按5000元收取。 （5）《3.1技术、服务标准和要求：（招单价的）供应商报价不允许超过标的单价》此款不做要求。 （6）本工程采用广联达云计价平台GCCP7.0(版本:7.5000.23.1)，已标价工程量清单包括投标总价、投标报价说明（不得违背竞争性磋商文件中关于报价内容的相关约定）、工程量清单计价表、工程项目总造价表、单项工程造价汇总表、单位工程造价汇总表、分部分项工程量清单计价表、措施项目清单计价表、其他项目清单计价表、规费、税金项目清单计价表、主要材料价格表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磋商截止时间前6个月内任意时段的依法缴纳税收的相关凭据（时间以税款所属日期为准），依法免税或无须缴纳税收的供应商应提供相关证明材料；3、提供磋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经审计的财务会计报告（至少包括审计报告、资产负债表和利润表，成立时间至提交磋商响应文件截止时间不足一年的可提供成立后任意时段的资产负债表）或提供供应商开户许可证（或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拟派项目经理具备建筑工程专业注册建造师二级及以上执业资格及其本人具有有效的安全生产考核合格证（建安B证），在本单位注册且无在建工程；</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资格证书</w:t>
            </w:r>
          </w:p>
        </w:tc>
        <w:tc>
          <w:tcPr>
            <w:tcW w:type="dxa" w:w="3322"/>
          </w:tcPr>
          <w:p>
            <w:pPr>
              <w:pStyle w:val="null3"/>
            </w:pPr>
            <w:r>
              <w:rPr>
                <w:rFonts w:ascii="仿宋_GB2312" w:hAnsi="仿宋_GB2312" w:cs="仿宋_GB2312" w:eastAsia="仿宋_GB2312"/>
              </w:rPr>
              <w:t>供应商须具备建设行政主管部门颁发的钢结构施工专业承包三级及以上资质，且具备合格有效的安全生产许可证；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施工组织设计 中小企业声明函 业绩 商务条款偏离表 响应文件封面 资格证明文件 残疾人福利性单位声明函 报价函 其它说明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已标价工程量清单 施工组织设计 中小企业声明函 业绩 商务条款偏离表 响应文件封面 资格证明文件 残疾人福利性单位声明函 报价函 其它说明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供应商提供的响应文件内容无实质性遗漏</w:t>
            </w:r>
          </w:p>
        </w:tc>
        <w:tc>
          <w:tcPr>
            <w:tcW w:type="dxa" w:w="1661"/>
          </w:tcPr>
          <w:p>
            <w:pPr>
              <w:pStyle w:val="null3"/>
            </w:pPr>
            <w:r>
              <w:rPr>
                <w:rFonts w:ascii="仿宋_GB2312" w:hAnsi="仿宋_GB2312" w:cs="仿宋_GB2312" w:eastAsia="仿宋_GB2312"/>
              </w:rPr>
              <w:t>已标价工程量清单 施工组织设计 中小企业声明函 业绩 商务条款偏离表 响应文件封面 资格证明文件 残疾人福利性单位声明函 报价函 其它说明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已标价工程量清单 施工组织设计 中小企业声明函 业绩 商务条款偏离表 响应文件封面 资格证明文件 残疾人福利性单位声明函 报价函 其它说明 标的清单 陕西省政府采购供应商拒绝政府采购领域商业贿赂承诺书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 2022年1月1日至磋商响应文件递交截止之日类似项目业绩，每提供一个得2.5分，总计5分。 (注：以合同协议书或中标（成交）通知书复印件并加盖供应商公章为准)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vMerge/>
          </w:tcPr>
          <w:p/>
        </w:tc>
        <w:tc>
          <w:tcPr>
            <w:tcW w:type="dxa" w:w="1661"/>
          </w:tcPr>
          <w:p>
            <w:pPr>
              <w:pStyle w:val="null3"/>
            </w:pPr>
            <w:r>
              <w:rPr>
                <w:rFonts w:ascii="仿宋_GB2312" w:hAnsi="仿宋_GB2312" w:cs="仿宋_GB2312" w:eastAsia="仿宋_GB2312"/>
              </w:rPr>
              <w:t>项目施工方案</w:t>
            </w:r>
          </w:p>
        </w:tc>
        <w:tc>
          <w:tcPr>
            <w:tcW w:type="dxa" w:w="2492"/>
          </w:tcPr>
          <w:p>
            <w:pPr>
              <w:pStyle w:val="null3"/>
            </w:pPr>
            <w:r>
              <w:rPr>
                <w:rFonts w:ascii="仿宋_GB2312" w:hAnsi="仿宋_GB2312" w:cs="仿宋_GB2312" w:eastAsia="仿宋_GB2312"/>
              </w:rPr>
              <w:t>项目施工方案详细、合理、全面，根据响应情况得11-15分； 项目施工方案较详细、基本合理，根据响应情况得6-11分； 项目施工方案有缺陷或不尽合理，前后矛盾，根据响应情况得0-6分。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人员配备合理，完全满足工作要求，根据响应情况7-10分； 人员配备较为合理，基本满足工作要求，根据响应情况得 4-7分； 人员配备不合理、配置较差，未能完全满足工作要求,根据响应情况得0-4分。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文明、施工措施及环境保护措施</w:t>
            </w:r>
          </w:p>
        </w:tc>
        <w:tc>
          <w:tcPr>
            <w:tcW w:type="dxa" w:w="2492"/>
          </w:tcPr>
          <w:p>
            <w:pPr>
              <w:pStyle w:val="null3"/>
            </w:pPr>
            <w:r>
              <w:rPr>
                <w:rFonts w:ascii="仿宋_GB2312" w:hAnsi="仿宋_GB2312" w:cs="仿宋_GB2312" w:eastAsia="仿宋_GB2312"/>
              </w:rPr>
              <w:t>有完善的安全、文明施工措施及环境保护措施，措施编制完整合理、可操作性强，根据响应情况得7-10分； 安全、文明施工措施及环境保护措施基本合理、操作性一般，根据响应情况得4-7分； 提供的安全、文明施工措施及环境保护措施不完善、操作性不强、不能完全满足工作要求，根据响应情况得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施工质量及施工进度保证措施</w:t>
            </w:r>
          </w:p>
        </w:tc>
        <w:tc>
          <w:tcPr>
            <w:tcW w:type="dxa" w:w="2492"/>
          </w:tcPr>
          <w:p>
            <w:pPr>
              <w:pStyle w:val="null3"/>
            </w:pPr>
            <w:r>
              <w:rPr>
                <w:rFonts w:ascii="仿宋_GB2312" w:hAnsi="仿宋_GB2312" w:cs="仿宋_GB2312" w:eastAsia="仿宋_GB2312"/>
              </w:rPr>
              <w:t>有完善的施工质量及施工进度保证措施、明确的项目职责与分工，能有效地保证服务质量，确保按时按量完成服务工作，根据响应情况得 7-10分； 施工质量及施工进度保证措施完善、程序措施较为规范合理，根据响应情况得4-7分； 施工质量及施工进度保证措施不完善、不能完全满足工作要求，根据响应情况得0-4分。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突发事件处理预案措施</w:t>
            </w:r>
          </w:p>
        </w:tc>
        <w:tc>
          <w:tcPr>
            <w:tcW w:type="dxa" w:w="2492"/>
          </w:tcPr>
          <w:p>
            <w:pPr>
              <w:pStyle w:val="null3"/>
            </w:pPr>
            <w:r>
              <w:rPr>
                <w:rFonts w:ascii="仿宋_GB2312" w:hAnsi="仿宋_GB2312" w:cs="仿宋_GB2312" w:eastAsia="仿宋_GB2312"/>
              </w:rPr>
              <w:t>突发事件应急预案，详细、实用、切实可行性强得7-10分； 突发事件应急预案，较详细、较实用、可行性较强得4-7分； 突发事件应急预案，实用性一般，可行性较弱得0-4分。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劳动力安排及施工机械配备投入</w:t>
            </w:r>
          </w:p>
        </w:tc>
        <w:tc>
          <w:tcPr>
            <w:tcW w:type="dxa" w:w="2492"/>
          </w:tcPr>
          <w:p>
            <w:pPr>
              <w:pStyle w:val="null3"/>
            </w:pPr>
            <w:r>
              <w:rPr>
                <w:rFonts w:ascii="仿宋_GB2312" w:hAnsi="仿宋_GB2312" w:cs="仿宋_GB2312" w:eastAsia="仿宋_GB2312"/>
              </w:rPr>
              <w:t>制定的劳动力安排及施工机械配备投入计划可操作性强，机械工具配置齐全、情况良好。根据响应情况得7-10分； 制定的劳动力安排及施工机械配备投入计划可操作性一般，基本满足工作要求，根据响应情况得4-7分； 制定的劳动力安排及施工机械配备投入计划方案较差、不合理、有缺漏，根据响应情况得0-4分。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2.满足磋商文件实质性要求且最终报价，最低的供应商的价格为磋商基准价，其价格分为满分30分。 3.磋商报价得分=（磋商基准价/最终磋商报价）×30的公式计算得分。 4.磋商报价不完整的，不进入基准价的计算，本项得0分。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详见附件：施工组织设计</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详见附件：其它说明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