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版本号：HRC-ZBDL-2025-0139020250917001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2025年度王莽街道农房抗震改造项目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HRC-ZBDL-2025-01390</w:t>
      </w:r>
      <w:r>
        <w:br/>
      </w:r>
      <w:r>
        <w:br/>
      </w:r>
      <w:r>
        <w:br/>
      </w:r>
    </w:p>
    <w:p>
      <w:pPr>
        <w:pStyle w:val="null3"/>
        <w:jc w:val="center"/>
        <w:outlineLvl w:val="2"/>
      </w:pPr>
      <w:r>
        <w:rPr>
          <w:rFonts w:ascii="仿宋_GB2312" w:hAnsi="仿宋_GB2312" w:cs="仿宋_GB2312" w:eastAsia="仿宋_GB2312"/>
          <w:sz w:val="28"/>
          <w:b/>
        </w:rPr>
        <w:t>西安市长安区王莽街道办事处</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西安市长安区王莽街道办事处</w:t>
      </w:r>
      <w:r>
        <w:rPr>
          <w:rFonts w:ascii="仿宋_GB2312" w:hAnsi="仿宋_GB2312" w:cs="仿宋_GB2312" w:eastAsia="仿宋_GB2312"/>
        </w:rPr>
        <w:t>委托，拟对</w:t>
      </w:r>
      <w:r>
        <w:rPr>
          <w:rFonts w:ascii="仿宋_GB2312" w:hAnsi="仿宋_GB2312" w:cs="仿宋_GB2312" w:eastAsia="仿宋_GB2312"/>
        </w:rPr>
        <w:t>2025年度王莽街道农房抗震改造项目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HRC-ZBDL-2025-01390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2025年度王莽街道农房抗震改造项目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王莽街道实施2025年度王莽街道农房抗震改造项目，计划改造加固27户，涉及钢结构加固墙体及屋顶、更换窗户。（具体详见工程量清单及图纸所含全部内容）。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采购包1（2025年度王莽街道农房抗震改造项目）：属于专门面向中小企业采购。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具备有效的主体资格证明：供应商须具备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pPr>
        <w:pStyle w:val="null3"/>
      </w:pPr>
      <w:r>
        <w:rPr>
          <w:rFonts w:ascii="仿宋_GB2312" w:hAnsi="仿宋_GB2312" w:cs="仿宋_GB2312" w:eastAsia="仿宋_GB2312"/>
        </w:rPr>
        <w:t>3、税收缴纳证明：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保资金缴纳证明：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5、无重大违法记录声明：提供参加政府采购活动前三年内在经营活动中没有重大违法记录的书面声明；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7、供应商应授权合法的人员参加磋商全过程：法定代表人直接参加磋商的，须出具法定代表人身份证明及身份证，法定代表人委托代理人参加磋商的，须出具法定代表人授权委托书及身份证；</w:t>
      </w:r>
    </w:p>
    <w:p>
      <w:pPr>
        <w:pStyle w:val="null3"/>
      </w:pPr>
      <w:r>
        <w:rPr>
          <w:rFonts w:ascii="仿宋_GB2312" w:hAnsi="仿宋_GB2312" w:cs="仿宋_GB2312" w:eastAsia="仿宋_GB2312"/>
        </w:rPr>
        <w:t>8、供应商资质：供应商须具备建设行政主管部门颁发的建筑工程施工总承包三级及上资质，且具备有效的安全生产许可证；</w:t>
      </w:r>
    </w:p>
    <w:p>
      <w:pPr>
        <w:pStyle w:val="null3"/>
      </w:pPr>
      <w:r>
        <w:rPr>
          <w:rFonts w:ascii="仿宋_GB2312" w:hAnsi="仿宋_GB2312" w:cs="仿宋_GB2312" w:eastAsia="仿宋_GB2312"/>
        </w:rPr>
        <w:t>9、拟派项目经理：拟派项目经理须具备建筑工程专业二级及以上注册建造师证书及有效的安全生产考核合格证书（建安B证），在本单位注册且无在建工程（提供无在建项目承诺书）；</w:t>
      </w:r>
    </w:p>
    <w:p>
      <w:pPr>
        <w:pStyle w:val="null3"/>
      </w:pPr>
      <w:r>
        <w:rPr>
          <w:rFonts w:ascii="仿宋_GB2312" w:hAnsi="仿宋_GB2312" w:cs="仿宋_GB2312" w:eastAsia="仿宋_GB2312"/>
        </w:rPr>
        <w:t>10、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p>
      <w:pPr>
        <w:pStyle w:val="null3"/>
      </w:pPr>
      <w:r>
        <w:rPr>
          <w:rFonts w:ascii="仿宋_GB2312" w:hAnsi="仿宋_GB2312" w:cs="仿宋_GB2312" w:eastAsia="仿宋_GB2312"/>
        </w:rPr>
        <w:t>11、非联合体磋商：本项目不接受联合体磋商。单位负责人为同一人或者存在直接控股、管理关系的不同单位不得同时参加。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西安市长安区王莽街道办事处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西安市长安区王莽街道236乡道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18209270284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15229246991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采购包1：715,375.80元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由成交供应商在领取《成交通知书》时，一次性向招标代理机构支付。2.收费依据：以成交价作为基数，按照原《国家计委关于印发&lt;招标代理服务收费管理暂行办法&gt;的通知》（计价格[2002]1980号）、陕西省物价局及陕西省建设厅文件陕价行发[2014]88号文件及《国家发展改革委办公厅关于招标代理服务收费有关问题的通知》（发改价格[2003]857号）文件的通知标准进行计算。 3.缴纳账户信息： 开户名称：华睿诚项目管理有限公司，开户行：西安银行小寨东路支行 账号：816011580000101224。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西安市长安区王莽街道办事处</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西安市长安区王莽街道办事处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西安市长安区王莽街道办事处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一、工程质量须达到国家现行施工验收规范“合格”标准。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联系人：赵静</w:t>
      </w:r>
    </w:p>
    <w:p>
      <w:pPr>
        <w:pStyle w:val="null3"/>
      </w:pPr>
      <w:r>
        <w:rPr>
          <w:rFonts w:ascii="仿宋_GB2312" w:hAnsi="仿宋_GB2312" w:cs="仿宋_GB2312" w:eastAsia="仿宋_GB2312"/>
        </w:rPr>
        <w:t>联系电话：15229246991</w:t>
      </w:r>
    </w:p>
    <w:p>
      <w:pPr>
        <w:pStyle w:val="null3"/>
      </w:pPr>
      <w:r>
        <w:rPr>
          <w:rFonts w:ascii="仿宋_GB2312" w:hAnsi="仿宋_GB2312" w:cs="仿宋_GB2312" w:eastAsia="仿宋_GB2312"/>
        </w:rPr>
        <w:t>地址：陕西省西安市曲江新区雁翔路3269号旺座曲江E座29层2901号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715,375.80</w:t>
      </w:r>
    </w:p>
    <w:p>
      <w:pPr>
        <w:pStyle w:val="null3"/>
      </w:pPr>
      <w:r>
        <w:rPr>
          <w:rFonts w:ascii="仿宋_GB2312" w:hAnsi="仿宋_GB2312" w:cs="仿宋_GB2312" w:eastAsia="仿宋_GB2312"/>
        </w:rPr>
        <w:t>采购包最高限价（元）: 715,375.80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27户农房抗震改造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715,375.80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标的名称：27户农房抗震改造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一、项目概况及采购内容：</w:t>
            </w:r>
            <w:r>
              <w:rPr>
                <w:rFonts w:ascii="仿宋_GB2312" w:hAnsi="仿宋_GB2312" w:cs="仿宋_GB2312" w:eastAsia="仿宋_GB2312"/>
                <w:sz w:val="18"/>
              </w:rPr>
              <w:t>王莽街道实施</w:t>
            </w:r>
            <w:r>
              <w:rPr>
                <w:rFonts w:ascii="仿宋_GB2312" w:hAnsi="仿宋_GB2312" w:cs="仿宋_GB2312" w:eastAsia="仿宋_GB2312"/>
                <w:sz w:val="18"/>
              </w:rPr>
              <w:t>2025年度王莽街道农房抗震改造项目，计划改造加固27户，涉及钢结构加固墙体及屋顶、更换窗户。（具体详见工程量清单及图纸所含全部内容）。</w:t>
            </w:r>
          </w:p>
          <w:p>
            <w:pPr>
              <w:pStyle w:val="null3"/>
              <w:jc w:val="both"/>
            </w:pPr>
            <w:r>
              <w:rPr>
                <w:rFonts w:ascii="仿宋_GB2312" w:hAnsi="仿宋_GB2312" w:cs="仿宋_GB2312" w:eastAsia="仿宋_GB2312"/>
                <w:sz w:val="18"/>
              </w:rPr>
              <w:t>二、工程量清单编制依据</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本次编制的范围包含</w:t>
            </w:r>
            <w:r>
              <w:rPr>
                <w:rFonts w:ascii="仿宋_GB2312" w:hAnsi="仿宋_GB2312" w:cs="仿宋_GB2312" w:eastAsia="仿宋_GB2312"/>
                <w:sz w:val="18"/>
              </w:rPr>
              <w:t>2025年度王莽街道农房抗震改造项目图纸的全部内容</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《陕西省</w:t>
            </w:r>
            <w:r>
              <w:rPr>
                <w:rFonts w:ascii="仿宋_GB2312" w:hAnsi="仿宋_GB2312" w:cs="仿宋_GB2312" w:eastAsia="仿宋_GB2312"/>
                <w:sz w:val="18"/>
              </w:rPr>
              <w:t>建设工程工程量清单计价标准</w:t>
            </w:r>
            <w:r>
              <w:rPr>
                <w:rFonts w:ascii="仿宋_GB2312" w:hAnsi="仿宋_GB2312" w:cs="仿宋_GB2312" w:eastAsia="仿宋_GB2312"/>
                <w:sz w:val="18"/>
              </w:rPr>
              <w:t>及计算标准</w:t>
            </w:r>
            <w:r>
              <w:rPr>
                <w:rFonts w:ascii="仿宋_GB2312" w:hAnsi="仿宋_GB2312" w:cs="仿宋_GB2312" w:eastAsia="仿宋_GB2312"/>
                <w:sz w:val="18"/>
              </w:rPr>
              <w:t>(2025)》</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三、</w:t>
            </w:r>
            <w:r>
              <w:rPr>
                <w:rFonts w:ascii="仿宋_GB2312" w:hAnsi="仿宋_GB2312" w:cs="仿宋_GB2312" w:eastAsia="仿宋_GB2312"/>
                <w:sz w:val="18"/>
              </w:rPr>
              <w:t>其他说明</w:t>
            </w:r>
          </w:p>
          <w:p>
            <w:pPr>
              <w:pStyle w:val="null3"/>
              <w:jc w:val="both"/>
            </w:pPr>
            <w:r>
              <w:rPr>
                <w:rFonts w:ascii="仿宋_GB2312" w:hAnsi="仿宋_GB2312" w:cs="仿宋_GB2312" w:eastAsia="仿宋_GB2312"/>
                <w:sz w:val="18"/>
              </w:rPr>
              <w:t>1、广联达版本为7.5000.23.1</w:t>
            </w:r>
          </w:p>
          <w:p>
            <w:pPr>
              <w:pStyle w:val="null3"/>
              <w:jc w:val="both"/>
            </w:pPr>
            <w:r>
              <w:rPr>
                <w:rFonts w:ascii="仿宋_GB2312" w:hAnsi="仿宋_GB2312" w:cs="仿宋_GB2312" w:eastAsia="仿宋_GB2312"/>
                <w:sz w:val="18"/>
              </w:rPr>
              <w:t>四、</w:t>
            </w:r>
            <w:r>
              <w:rPr>
                <w:rFonts w:ascii="仿宋_GB2312" w:hAnsi="仿宋_GB2312" w:cs="仿宋_GB2312" w:eastAsia="仿宋_GB2312"/>
                <w:sz w:val="18"/>
              </w:rPr>
              <w:t>详见附件</w:t>
            </w:r>
            <w:r>
              <w:rPr>
                <w:rFonts w:ascii="仿宋_GB2312" w:hAnsi="仿宋_GB2312" w:cs="仿宋_GB2312" w:eastAsia="仿宋_GB2312"/>
                <w:sz w:val="18"/>
              </w:rPr>
              <w:t>“工程量清单”</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1、工期：合同签订之日起</w:t>
            </w:r>
            <w:r>
              <w:rPr>
                <w:rFonts w:ascii="仿宋_GB2312" w:hAnsi="仿宋_GB2312" w:cs="仿宋_GB2312" w:eastAsia="仿宋_GB2312"/>
                <w:sz w:val="18"/>
              </w:rPr>
              <w:t>3</w:t>
            </w:r>
            <w:r>
              <w:rPr>
                <w:rFonts w:ascii="仿宋_GB2312" w:hAnsi="仿宋_GB2312" w:cs="仿宋_GB2312" w:eastAsia="仿宋_GB2312"/>
                <w:sz w:val="18"/>
              </w:rPr>
              <w:t>0日历天。</w:t>
            </w:r>
          </w:p>
          <w:p>
            <w:pPr>
              <w:pStyle w:val="null3"/>
              <w:jc w:val="both"/>
            </w:pPr>
            <w:r>
              <w:rPr>
                <w:rFonts w:ascii="仿宋_GB2312" w:hAnsi="仿宋_GB2312" w:cs="仿宋_GB2312" w:eastAsia="仿宋_GB2312"/>
                <w:sz w:val="18"/>
              </w:rPr>
              <w:t>2、施工地点：西安市长安区</w:t>
            </w:r>
          </w:p>
          <w:p>
            <w:pPr>
              <w:pStyle w:val="null3"/>
              <w:jc w:val="both"/>
            </w:pPr>
            <w:r>
              <w:rPr>
                <w:rFonts w:ascii="仿宋_GB2312" w:hAnsi="仿宋_GB2312" w:cs="仿宋_GB2312" w:eastAsia="仿宋_GB2312"/>
                <w:sz w:val="18"/>
              </w:rPr>
              <w:t>3、质量标准：达到国家现行施工验收规范“合格”标准。</w:t>
            </w:r>
          </w:p>
          <w:p>
            <w:pPr>
              <w:pStyle w:val="null3"/>
              <w:jc w:val="both"/>
            </w:pPr>
            <w:r>
              <w:rPr>
                <w:rFonts w:ascii="仿宋_GB2312" w:hAnsi="仿宋_GB2312" w:cs="仿宋_GB2312" w:eastAsia="仿宋_GB2312"/>
                <w:sz w:val="18"/>
              </w:rPr>
              <w:t>4、缺陷责任期（工程质量保修期）：工程竣工验收合格后1年，成交人承诺的质保期起始时间为终验合格之日。</w:t>
            </w:r>
          </w:p>
          <w:p>
            <w:pPr>
              <w:pStyle w:val="null3"/>
              <w:jc w:val="both"/>
            </w:pPr>
            <w:r>
              <w:rPr>
                <w:rFonts w:ascii="仿宋_GB2312" w:hAnsi="仿宋_GB2312" w:cs="仿宋_GB2312" w:eastAsia="仿宋_GB2312"/>
                <w:sz w:val="18"/>
              </w:rPr>
              <w:t>5、付款方式：（1）根据工程进度，支付至合同价款的80%时暂停支付，项目完工后，供应商提供结算资料，由采购人向审计部门报送竣工决算资料进行决算审计，审计结束后，采购人按照决算审定价，支付剩余款项； （2）每期付款时供应商提供等额发票申请款项。</w:t>
            </w:r>
          </w:p>
          <w:p>
            <w:pPr>
              <w:pStyle w:val="null3"/>
              <w:jc w:val="both"/>
            </w:pPr>
            <w:r>
              <w:rPr>
                <w:rFonts w:ascii="仿宋_GB2312" w:hAnsi="仿宋_GB2312" w:cs="仿宋_GB2312" w:eastAsia="仿宋_GB2312"/>
                <w:sz w:val="18"/>
              </w:rPr>
              <w:t>6、施工过程中，拟派项目经理为承包人派驻施工场地的全权负责人，项目经理每月在施工现场应不少于26日，若短期离开施工场地，应事先征得监理人同意，并委派代表代行其职责。</w:t>
            </w:r>
          </w:p>
          <w:p>
            <w:pPr>
              <w:pStyle w:val="null3"/>
              <w:jc w:val="both"/>
            </w:pPr>
            <w:r>
              <w:rPr>
                <w:rFonts w:ascii="仿宋_GB2312" w:hAnsi="仿宋_GB2312" w:cs="仿宋_GB2312" w:eastAsia="仿宋_GB2312"/>
                <w:sz w:val="18"/>
              </w:rPr>
              <w:t>7、运输、进度：成交单位负责施工过程中材料的运输、施工及其他伴随服务。</w:t>
            </w:r>
          </w:p>
          <w:p>
            <w:pPr>
              <w:pStyle w:val="null3"/>
              <w:jc w:val="both"/>
            </w:pPr>
            <w:r>
              <w:rPr>
                <w:rFonts w:ascii="仿宋_GB2312" w:hAnsi="仿宋_GB2312" w:cs="仿宋_GB2312" w:eastAsia="仿宋_GB2312"/>
                <w:sz w:val="18"/>
              </w:rPr>
              <w:t>8、技术规范及要求：执行国家、省、市现行的相关规定及标准文件。</w:t>
            </w:r>
          </w:p>
          <w:p>
            <w:pPr>
              <w:pStyle w:val="null3"/>
              <w:jc w:val="both"/>
            </w:pPr>
            <w:r>
              <w:rPr>
                <w:rFonts w:ascii="仿宋_GB2312" w:hAnsi="仿宋_GB2312" w:cs="仿宋_GB2312" w:eastAsia="仿宋_GB2312"/>
                <w:sz w:val="18"/>
              </w:rPr>
              <w:t>9、竣工验收：（1）竣工须达到的标准和具备工程验收的条件；（2）工程验收规范、标准，验收的组织实施；（3）工程验收合格须移交的工程资料和竣工图纸等。</w:t>
            </w:r>
          </w:p>
          <w:p>
            <w:pPr>
              <w:pStyle w:val="null3"/>
              <w:jc w:val="both"/>
            </w:pPr>
            <w:r>
              <w:rPr>
                <w:rFonts w:ascii="仿宋_GB2312" w:hAnsi="仿宋_GB2312" w:cs="仿宋_GB2312" w:eastAsia="仿宋_GB2312"/>
                <w:sz w:val="18"/>
              </w:rPr>
              <w:t>10、验收依据：（1）合同文本及合同补充文件（条款）；（2）磋商文件及成交单位的磋商响应文件；（3）国家、省、市现行的施工验收标准及相关规定文件。（4）国家相关法律法规。</w:t>
            </w:r>
          </w:p>
          <w:p>
            <w:pPr>
              <w:pStyle w:val="null3"/>
              <w:jc w:val="both"/>
            </w:pPr>
            <w:r>
              <w:rPr>
                <w:rFonts w:ascii="仿宋_GB2312" w:hAnsi="仿宋_GB2312" w:cs="仿宋_GB2312" w:eastAsia="仿宋_GB2312"/>
                <w:sz w:val="18"/>
              </w:rPr>
              <w:t>11、违约责任：（1）按《中华人民共和国民法典》中的相关条款执行。（2）未按合同要求工程质量不能满足技术要求，采购方有权终止合同，并对供方违约行为进行追究，同时按《中华人民共和国政府采购法》的有关规定进行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工程质量须达到国家现行施工验收规范“合格”标准。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的磋商报价应是为完成本项目磋商文件中所提出的施工范围及要求的全部价格体现，包括供应商实施本项目所需的直接费、间接费、利润、税金及其它相关的一切费用。包括但不限于：人工费、材料费、设备费、管理费、保险、运输、维护、验收费、缺陷修复及合同所有责任、义务和风险等全部费用。2.项目属性：工程，本项目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供应商须具备有效的主体资格证明</w:t>
            </w:r>
          </w:p>
        </w:tc>
        <w:tc>
          <w:tcPr>
            <w:tcW w:type="dxa" w:w="3322"/>
          </w:tcPr>
          <w:p>
            <w:pPr>
              <w:pStyle w:val="null3"/>
            </w:pPr>
            <w:r>
              <w:rPr>
                <w:rFonts w:ascii="仿宋_GB2312" w:hAnsi="仿宋_GB2312" w:cs="仿宋_GB2312" w:eastAsia="仿宋_GB2312"/>
              </w:rPr>
              <w:t>供应商须具备有效的主体资格证明：在中华人民共和国境内注册，依法取得并有效存续的营业执照（含电子营业执照）\事业单位法人证书\民办非企业单位登记证书\非企业专业服务机构执业许可证等；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法定代表人直接参加磋商的，须出具法定代表人身份证明及身份证，法定代表人委托代理人参加磋商的，须出具法定代表人授权委托书及身份证；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供应商须具备建设行政主管部门颁发的建筑工程施工总承包三级及上资质，且具备有效的安全生产许可证；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拟派项目经理须具备建筑工程专业二级及以上注册建造师证书及有效的安全生产考核合格证书（建安B证），在本单位注册且无在建工程（提供无在建项目承诺书）；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本项目不接受联合体磋商。单位负责人为同一人或者存在直接控股、管理关系的不同单位不得同时参加。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至少以下三处的项目名称、项目编号、合同包（未分合同包的除外）与本项目完全一致：（1）响应文件封面；（2）投标（响应）函；（3）法定代表人（单位负责人）委托授权书\身份证明。</w:t>
            </w:r>
          </w:p>
        </w:tc>
        <w:tc>
          <w:tcPr>
            <w:tcW w:type="dxa" w:w="1661"/>
          </w:tcPr>
          <w:p>
            <w:pPr>
              <w:pStyle w:val="null3"/>
            </w:pPr>
            <w:r>
              <w:rPr>
                <w:rFonts w:ascii="仿宋_GB2312" w:hAnsi="仿宋_GB2312" w:cs="仿宋_GB2312" w:eastAsia="仿宋_GB2312"/>
              </w:rPr>
              <w:t>响应文件封面 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商务要求偏离表 已标价工程量清单 技术要求偏离表 技术响应方案 中小企业声明函 响应文件封面 残疾人福利性单位声明函 报价函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商务要求偏离表 已标价工程量清单 技术要求偏离表 技术响应方案 中小企业声明函 响应文件封面 残疾人福利性单位声明函 报价函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商务要求偏离表 技术要求偏离表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工期、质量标准</w:t>
            </w:r>
          </w:p>
        </w:tc>
        <w:tc>
          <w:tcPr>
            <w:tcW w:type="dxa" w:w="3322"/>
          </w:tcPr>
          <w:p>
            <w:pPr>
              <w:pStyle w:val="null3"/>
            </w:pPr>
            <w:r>
              <w:rPr>
                <w:rFonts w:ascii="仿宋_GB2312" w:hAnsi="仿宋_GB2312" w:cs="仿宋_GB2312" w:eastAsia="仿宋_GB2312"/>
              </w:rPr>
              <w:t>应满足磋商文件中要求的工期、质量标准。</w:t>
            </w:r>
          </w:p>
        </w:tc>
        <w:tc>
          <w:tcPr>
            <w:tcW w:type="dxa" w:w="1661"/>
          </w:tcPr>
          <w:p>
            <w:pPr>
              <w:pStyle w:val="null3"/>
            </w:pPr>
            <w:r>
              <w:rPr>
                <w:rFonts w:ascii="仿宋_GB2312" w:hAnsi="仿宋_GB2312" w:cs="仿宋_GB2312" w:eastAsia="仿宋_GB2312"/>
              </w:rPr>
              <w:t>商务要求偏离表 技术要求偏离表 报价函 标的清单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商务要求偏离表 已标价工程量清单 技术要求偏离表 技术响应方案 中小企业声明函 响应文件封面 残疾人福利性单位声明函 报价函 标的清单 供应商承诺书 响应函 供应商资格证明文件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有详细的①施工方案（包含雨季施工方案）；②施工场地管理方案；③场地人员管理方案；④技术组织措施；⑤文明施工、环境保护及“治污减霾”的保障措施。以上能有效地保障项目实施过程的衔接、保证项目整体质量，评标委员会根据各供应商的内容进行评审，每小项计1-4分，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工程进度计划保证措施</w:t>
            </w:r>
          </w:p>
        </w:tc>
        <w:tc>
          <w:tcPr>
            <w:tcW w:type="dxa" w:w="2492"/>
          </w:tcPr>
          <w:p>
            <w:pPr>
              <w:pStyle w:val="null3"/>
            </w:pPr>
            <w:r>
              <w:rPr>
                <w:rFonts w:ascii="仿宋_GB2312" w:hAnsi="仿宋_GB2312" w:cs="仿宋_GB2312" w:eastAsia="仿宋_GB2312"/>
              </w:rPr>
              <w:t>针对本项目有切实可行的①进度计划安排；②进度计划实施方案；③确保工期的技术组织措施。针对性强，内容完整、科学合理，每小项计1-2分，未提供得0分。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针对本项目有切实可行的①质量管理制度、管理体系与职责；②质量控制与质量检查方案；③确保工程质量的技术组织措施。针对性强，内容完整、科学合理，每小项计1-2分，未提供得0分。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针对本项目有切实可行的①施工人员安全培训措施；②设施、设备安全检查措施；③安全施工保障措施。针对性强，内容完整、科学合理，每小项计1-2分，未提供得0分。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项目重点、难点分析及应对措施</w:t>
            </w:r>
          </w:p>
        </w:tc>
        <w:tc>
          <w:tcPr>
            <w:tcW w:type="dxa" w:w="2492"/>
          </w:tcPr>
          <w:p>
            <w:pPr>
              <w:pStyle w:val="null3"/>
            </w:pPr>
            <w:r>
              <w:rPr>
                <w:rFonts w:ascii="仿宋_GB2312" w:hAnsi="仿宋_GB2312" w:cs="仿宋_GB2312" w:eastAsia="仿宋_GB2312"/>
              </w:rPr>
              <w:t>针对本项目有详细的①项目特点、关键技术问题的认识；②项目重点、难点分析；③重点、难点应对措施。针对性强，内容完整、科学合理，每小项计1-2分，未提供得0分。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针对本项目有详细的①项目管理机构配备计划；②人员岗位职责；③团队人员配备情况（人员数量、专业分工、机构健全等）。针对性强，内容完整、科学合理，每小项计1-2分，未提供得0分。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供应商针对本项目有完善的①施工机械配备；②材料投入计划。以上方案能保障项目顺利实施，保证项目质量，评标委员会根据各供应商的内容进行评审，每小项计1-2分，未提供得0分。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针对本项目有切实可行的①人员事故应急预案；②突发暴雨、大风、大雾等特殊天气的应急预案。以上方案针对性强，能保障项目顺利实施，根据各供应商的内容进行评审，每小项计1-2分，未提供得0分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供应商承诺及合理化建议</w:t>
            </w:r>
          </w:p>
        </w:tc>
        <w:tc>
          <w:tcPr>
            <w:tcW w:type="dxa" w:w="2492"/>
          </w:tcPr>
          <w:p>
            <w:pPr>
              <w:pStyle w:val="null3"/>
            </w:pPr>
            <w:r>
              <w:rPr>
                <w:rFonts w:ascii="仿宋_GB2312" w:hAnsi="仿宋_GB2312" w:cs="仿宋_GB2312" w:eastAsia="仿宋_GB2312"/>
              </w:rPr>
              <w:t>供应商针对本项目有具体的服务承诺及合理化建议：①施工材料、所用产品质量、项目人员配备的承诺；②后续服务的承诺；③针对本项目的合理化建议。所做承诺内容具体、可行，合理化建议详细、合理，评标委员会根据各供应商的内容进行评审，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供应商承诺书</w:t>
            </w:r>
          </w:p>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供应商2022年01月01日以来承担过类似项目业绩（以合同或中标通知书为准)。每提供一项业绩得2分，最高得6分。须提供合同或中标通知书复印件或扫描件并加盖公章，未提供不计分。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 3.其他供应商的价格分统一按照下列公式计算：磋商报价得分=（磋商基准价/最后磋商报价）×30%×100。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详见附件：技术要求偏离表</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详见附件：技术响应方案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