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版本号：ZRD-2025XAZC61620250918001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长安区黄良街道堀垛村2024年省级“千万工程”示范村项目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ZRD-2025XAZC616</w:t>
      </w:r>
      <w:r>
        <w:br/>
      </w:r>
      <w:r>
        <w:br/>
      </w:r>
      <w:r>
        <w:br/>
      </w:r>
    </w:p>
    <w:p>
      <w:pPr>
        <w:pStyle w:val="null3"/>
        <w:jc w:val="center"/>
        <w:outlineLvl w:val="2"/>
      </w:pPr>
      <w:r>
        <w:rPr>
          <w:rFonts w:ascii="仿宋_GB2312" w:hAnsi="仿宋_GB2312" w:cs="仿宋_GB2312" w:eastAsia="仿宋_GB2312"/>
          <w:sz w:val="28"/>
          <w:b/>
        </w:rPr>
        <w:t>西安市长安区黄良街道办事处</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西安市长安区黄良街道办事处</w:t>
      </w:r>
      <w:r>
        <w:rPr>
          <w:rFonts w:ascii="仿宋_GB2312" w:hAnsi="仿宋_GB2312" w:cs="仿宋_GB2312" w:eastAsia="仿宋_GB2312"/>
        </w:rPr>
        <w:t>委托，拟对</w:t>
      </w:r>
      <w:r>
        <w:rPr>
          <w:rFonts w:ascii="仿宋_GB2312" w:hAnsi="仿宋_GB2312" w:cs="仿宋_GB2312" w:eastAsia="仿宋_GB2312"/>
        </w:rPr>
        <w:t>长安区黄良街道堀垛村2024年省级“千万工程”示范村项目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ZRD-2025XAZC616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长安区黄良街道堀垛村2024年省级“千万工程”示范村项目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主要内容包括道路工程、排水工程、照明工程等。1、基础设施:硬化面积1200㎡，同步安装太阳能路灯9套;2、人居环境:村内铺设排水管4200m。具体详见工程量清单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采购包1（长安区黄良街道堀垛村2024年省级“千万工程”示范村项目）：属于专门面向中小企业采购。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1、供应商资质：供应商须具备市政公用工程施工总承包三级及以上资质，且具有有效的安全生产许可证；</w:t>
      </w:r>
    </w:p>
    <w:p>
      <w:pPr>
        <w:pStyle w:val="null3"/>
      </w:pPr>
      <w:r>
        <w:rPr>
          <w:rFonts w:ascii="仿宋_GB2312" w:hAnsi="仿宋_GB2312" w:cs="仿宋_GB2312" w:eastAsia="仿宋_GB2312"/>
        </w:rPr>
        <w:t>2、拟派项目负责人资质和专业要求 ：拟派项目经理须具备市政公用工程专业二级及以上注册建造师资格，具备有效的安全生产考核合格证，且无在建项目（提供无在建项目承诺书)；</w:t>
      </w:r>
    </w:p>
    <w:p>
      <w:pPr>
        <w:pStyle w:val="null3"/>
      </w:pPr>
      <w:r>
        <w:rPr>
          <w:rFonts w:ascii="仿宋_GB2312" w:hAnsi="仿宋_GB2312" w:cs="仿宋_GB2312" w:eastAsia="仿宋_GB2312"/>
        </w:rPr>
        <w:t>3、法定代表人授权书：法定代表人授权书及被授权人身份证复印件（法定代表人直接参加投标，须提供法定代表人身份证明及身份证复印件）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4、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5、本项目专门面向中小企业采购：本项目专门面向中小企业采购（残疾人福利性单位、监狱企业视同小型、微型企业）[供应商需提供《中小企业声明函》（监狱企业的证明文件或《残疾人福利性单位声明函》）</w:t>
      </w:r>
    </w:p>
    <w:p>
      <w:pPr>
        <w:pStyle w:val="null3"/>
      </w:pPr>
      <w:r>
        <w:rPr>
          <w:rFonts w:ascii="仿宋_GB2312" w:hAnsi="仿宋_GB2312" w:cs="仿宋_GB2312" w:eastAsia="仿宋_GB2312"/>
        </w:rPr>
        <w:t>6、本项目不接受联合体磋商：本项目不接受联合体磋商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西安市长安区黄良街道办事处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陕西省西安市长安区黄良街道黄良镇村甲字1号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029-85959302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昌工、郭工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029-86263596、15039820627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采购包1：1,931,174.84元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招标服务费参照国家计委关于印发《招标代理服务收费管理暂行办法》的通知(计价格{2002}1980号）、《国家发展和改革委员会办公厅关于招标代理服务收费有关问题的通知》（发改办价格{2003}857号）、《关于放开部分建设项目服务收费标准有关问题的通知》（发改价格{2014} 1573号）标准收费。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西安市长安区黄良街道办事处</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西安市长安区黄良街道办事处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西安市长安区黄良街道办事处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工程质量评定必须达到合格标准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联系人：昌工</w:t>
      </w:r>
    </w:p>
    <w:p>
      <w:pPr>
        <w:pStyle w:val="null3"/>
      </w:pPr>
      <w:r>
        <w:rPr>
          <w:rFonts w:ascii="仿宋_GB2312" w:hAnsi="仿宋_GB2312" w:cs="仿宋_GB2312" w:eastAsia="仿宋_GB2312"/>
        </w:rPr>
        <w:t>联系电话：029-86263596、15039820627</w:t>
      </w:r>
    </w:p>
    <w:p>
      <w:pPr>
        <w:pStyle w:val="null3"/>
      </w:pPr>
      <w:r>
        <w:rPr>
          <w:rFonts w:ascii="仿宋_GB2312" w:hAnsi="仿宋_GB2312" w:cs="仿宋_GB2312" w:eastAsia="仿宋_GB2312"/>
        </w:rPr>
        <w:t>地址：西安市经济技术开发区凤城五路与明光路十字西北角凤城五路105号恒石国际B座902室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1,931,174.84</w:t>
      </w:r>
    </w:p>
    <w:p>
      <w:pPr>
        <w:pStyle w:val="null3"/>
      </w:pPr>
      <w:r>
        <w:rPr>
          <w:rFonts w:ascii="仿宋_GB2312" w:hAnsi="仿宋_GB2312" w:cs="仿宋_GB2312" w:eastAsia="仿宋_GB2312"/>
        </w:rPr>
        <w:t>采购包最高限价（元）: 1,931,174.84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1,931,174.84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9"/>
                <w:color w:val="000000"/>
              </w:rPr>
              <w:t>项目概况：主要建设内容包括道路工程、排水工程、照明工程等。①基础设施:硬化面积1200㎡，同步安装太阳能路灯9套;②人居环境:村内铺设排水管4200m。具体内容详见工程量清单。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工期：6个月</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质量要求：符合国家有关验收规范，工程质量达到合格标准；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 付款条件说明： 合同签订后15日内付合同金额的30% ，达到付款条件起 15 日内，支付合同总金额的 30.00%。</w:t>
            </w:r>
          </w:p>
          <w:p>
            <w:pPr>
              <w:pStyle w:val="null3"/>
            </w:pPr>
            <w:r>
              <w:rPr>
                <w:rFonts w:ascii="仿宋_GB2312" w:hAnsi="仿宋_GB2312" w:cs="仿宋_GB2312" w:eastAsia="仿宋_GB2312"/>
              </w:rPr>
              <w:t>2、 付款条件说明： 工程量过半付至合同金额的70% ，达到付款条件起 30 日内，支付合同总金额的 40.00%。</w:t>
            </w:r>
          </w:p>
          <w:p>
            <w:pPr>
              <w:pStyle w:val="null3"/>
            </w:pPr>
            <w:r>
              <w:rPr>
                <w:rFonts w:ascii="仿宋_GB2312" w:hAnsi="仿宋_GB2312" w:cs="仿宋_GB2312" w:eastAsia="仿宋_GB2312"/>
              </w:rPr>
              <w:t>3、 付款条件说明： 工程完工验收一审结束后付至合同金额的90% ，达到付款条件起 30 日内，支付合同总金额的 20.00%。</w:t>
            </w:r>
          </w:p>
          <w:p>
            <w:pPr>
              <w:pStyle w:val="null3"/>
            </w:pPr>
            <w:r>
              <w:rPr>
                <w:rFonts w:ascii="仿宋_GB2312" w:hAnsi="仿宋_GB2312" w:cs="仿宋_GB2312" w:eastAsia="仿宋_GB2312"/>
              </w:rPr>
              <w:t>4、 付款条件说明： 决算完后根据决算金额付完剩余款项 ，达到付款条件起 30 日内，支付合同总金额的 10.00%。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符合国家有关验收规范，工程质量达到合格标准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成交人在领取成交通知书时提供一正两副纸质竞争性磋商响应文件及电子竞争性磋商响应文件一份（U 盘或移动硬盘；电子响应文件为Word版本和PDF版本，PDF文件为签字、盖章的完整正本扫描件）。装订：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 2.税收缴纳证明：提供截止至磋商时间前一年内任意一个月的缴费证明；（依法免税的供应商应提供相关文件证明）； 3.社会保障资金缴纳证明：提供截止至磋商时间前一年内任意一个月的社保缴纳凭据或社保机构开具的社会保险参保缴纳情况证明；（依法不需要缴纳社会保障资金的供应商应提供相关证明） 4.提供具有履行本合同所必需的设备和专业技术能力的承诺；（提供承诺，加盖供应商公章） 5.提供参加政府采购活动前三年内在经营活动中没有重大违法记录的书面声明。（提供书面声明，加盖供应商公章） 6. 具有独立承担民事责任能力的法人、其他组织或自然人，并出具合法有效的营业执照或事业单位法人证书等国家规定的相关证明，自然人参与的提供其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供应商须具备市政公用工程施工总承包三级及以上资质，且具有有效的安全生产许可证；</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拟派项目经理须具备市政公用工程专业二级及以上注册建造师资格，具备有效的安全生产考核合格证，且无在建项目（提供无在建项目承诺书)；</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二、资格证明文件.docx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二、资格证明文件.docx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响应文件上法定代表人或其委托代理人的签字或盖章齐全并加盖公章</w:t>
            </w:r>
          </w:p>
        </w:tc>
        <w:tc>
          <w:tcPr>
            <w:tcW w:type="dxa" w:w="1661"/>
          </w:tcPr>
          <w:p>
            <w:pPr>
              <w:pStyle w:val="null3"/>
            </w:pPr>
            <w:r>
              <w:rPr>
                <w:rFonts w:ascii="仿宋_GB2312" w:hAnsi="仿宋_GB2312" w:cs="仿宋_GB2312" w:eastAsia="仿宋_GB2312"/>
              </w:rPr>
              <w:t>已标价工程量清单 中小企业声明函 二、资格证明文件.docx 四、技术方案.docx 三、技术服务合同条款及其他商务要求应答表.docx 响应文件封面 残疾人福利性单位声明函 报价函 一、开标一览表.docx 标的清单 响应函 监狱企业的证明文件 五、业绩.docx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一、开标一览表.docx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一、开标一览表.docx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一、评审要求 针对本项目的施工方案。 二、评审标准 1.完整性要求：须全面覆盖评审要求，对各技术指标、实施要素进行系统化描述，确保无遗漏项； 2.可行性要求：须基于项目实际需求，实施路径清晰可行，技术路线科学合理，各项措施具有可操作性。 3.针对性要求：须精准对接项目需求，重点解决项目关键问题，技术方案与项目特点高度适配，避免通用性表述，确保每项措施均针对项目实际情况制定。 4.可靠性要求：具备完善的服务体系和技术支持保障。 三、赋分标准（满分12分） 每个评审标准完全满足得3分； 每个评审标准基本满足得2分； 每个评审标准有明显缺陷的得0.5分。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1.确保工程质量的技术组织措施 措施明确，内容完整，能保证工程质量的，得8分； 措施相对明确，内容基本完整，基本能保证工程质量的，得4分； 措施不明确，内容不完整，不能保证工程质量的，得2分； 未提供本项的，不得分。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 措施明确，内容完整，能保证安全生产的，得8分； 措施相对明确，内容基本完整，基本能保证安全生产的，得4分； 措施不明确，内容不完整，不能保证安全生产的，得2分； 未提供本项的，不得分。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确保文明施工的技术组织措施及环境保护措施 措施明确，内容完整，能保证文明施工和保护现场环境的，得8分； 措施相对明确，内容基本完整，基本能保证文明施工和保护现场环境的，得4分； 措施不明确，内容不完整，不能保证文明施工和保护现场环境的，得2分； 未提供本项的，不得分。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措施明确，内容完整，能保证工程如期竣工的，得8分； 措施相对明确，内容基本完整，能保证工程如期竣工的，得4分； 措施不明确，内容不完整，不能保证工程如期竣工的，得2分； 未提供本项的，不得分。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部组成完整，至少包含项目经理及技术负责人、安全员、施工员，质量员、材料员；经理部组成人员完整得5分，除项目经理外每缺少1人扣1分。以上人员（除项目经理外）全部具备专业的技能证书得满分5分，每缺少一个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 机械配备齐全，能够满足实际需要，材料投入计划明确合理的，得5分； 机械配备相对齐全，基本能满足实际需要，材料投入计划相对明确合理的，得3分； 机械配备不齐全，不能够满足实际需要，材料投入计划不明确，不合理的，得1分； 未提供本项的，不得分。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劳动力安排计划安排计划得当，高效合理的，得5分； 安排计划相对得当，较为高效合理的，得3分； 安排计划不得当，不高效合理的，得1分 未提供本项的，不得分。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提供2022年01月01日至今类似项目业绩合同（以合同签订时间为准），每份计2分，满分6分。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其他供应商的价格分按照下列公式计算：磋商报价得分＝（磋商基准价/磋商报价）×30。小数点后保留2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详见附件：一、开标一览表.docx</w:t>
      </w:r>
    </w:p>
    <w:p>
      <w:pPr>
        <w:pStyle w:val="null3"/>
        <w:ind w:firstLine="960"/>
      </w:pPr>
      <w:r>
        <w:rPr>
          <w:rFonts w:ascii="仿宋_GB2312" w:hAnsi="仿宋_GB2312" w:cs="仿宋_GB2312" w:eastAsia="仿宋_GB2312"/>
        </w:rPr>
        <w:t>详见附件：二、资格证明文件.docx</w:t>
      </w:r>
    </w:p>
    <w:p>
      <w:pPr>
        <w:pStyle w:val="null3"/>
        <w:ind w:firstLine="960"/>
      </w:pPr>
      <w:r>
        <w:rPr>
          <w:rFonts w:ascii="仿宋_GB2312" w:hAnsi="仿宋_GB2312" w:cs="仿宋_GB2312" w:eastAsia="仿宋_GB2312"/>
        </w:rPr>
        <w:t>详见附件：三、技术服务合同条款及其他商务要求应答表.docx</w:t>
      </w:r>
    </w:p>
    <w:p>
      <w:pPr>
        <w:pStyle w:val="null3"/>
        <w:ind w:firstLine="960"/>
      </w:pPr>
      <w:r>
        <w:rPr>
          <w:rFonts w:ascii="仿宋_GB2312" w:hAnsi="仿宋_GB2312" w:cs="仿宋_GB2312" w:eastAsia="仿宋_GB2312"/>
        </w:rPr>
        <w:t>详见附件：四、技术方案.docx</w:t>
      </w:r>
    </w:p>
    <w:p>
      <w:pPr>
        <w:pStyle w:val="null3"/>
        <w:ind w:firstLine="960"/>
      </w:pPr>
      <w:r>
        <w:rPr>
          <w:rFonts w:ascii="仿宋_GB2312" w:hAnsi="仿宋_GB2312" w:cs="仿宋_GB2312" w:eastAsia="仿宋_GB2312"/>
        </w:rPr>
        <w:t>详见附件：五、业绩.docx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