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版本号：HRC-LHT2025-00006-120250926002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王曲街道马厂村病害路面修复项目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HRC-LHT2025-00006-1</w:t>
      </w:r>
      <w:r>
        <w:br/>
      </w:r>
      <w:r>
        <w:br/>
      </w:r>
      <w:r>
        <w:br/>
      </w:r>
    </w:p>
    <w:p>
      <w:pPr>
        <w:pStyle w:val="null3"/>
        <w:jc w:val="center"/>
        <w:outlineLvl w:val="2"/>
      </w:pPr>
      <w:r>
        <w:rPr>
          <w:rFonts w:ascii="仿宋_GB2312" w:hAnsi="仿宋_GB2312" w:cs="仿宋_GB2312" w:eastAsia="仿宋_GB2312"/>
          <w:sz w:val="28"/>
          <w:b/>
        </w:rPr>
        <w:t>西安市长安区王曲街道办事处</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西安市长安区王曲街道办事处</w:t>
      </w:r>
      <w:r>
        <w:rPr>
          <w:rFonts w:ascii="仿宋_GB2312" w:hAnsi="仿宋_GB2312" w:cs="仿宋_GB2312" w:eastAsia="仿宋_GB2312"/>
        </w:rPr>
        <w:t>委托，拟对</w:t>
      </w:r>
      <w:r>
        <w:rPr>
          <w:rFonts w:ascii="仿宋_GB2312" w:hAnsi="仿宋_GB2312" w:cs="仿宋_GB2312" w:eastAsia="仿宋_GB2312"/>
        </w:rPr>
        <w:t>王曲街道马厂村病害路面修复项目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HRC-LHT2025-00006-1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王曲街道马厂村病害路面修复项目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共计1条道路，村内现状土路硬化长度共计834m，硬化宽度4m，硬化面积共计3821.088㎡。现状水泥混凝土路面加铺沥青长度为834m，道路宽度4m，加铺沥青面积共计3821.088㎡。部分路段增设排水沟，排水沟尺寸0.4m*0.4m，新建排水沟共计211m（其中新建盖板排水沟199m，一般排水沟12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采购包1（王曲街道马厂村病害路面修复项目）：属于专门面向中小企业采购。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财务状况报告：提供2023或2024年度经审计的财务会计报告，或其投标前三个月内基本存款账户开户银行出具的资信证明及基本存款账户开户证明，或财政部门认可的政府采购专业担保机构出具的投标担保函（以上三种形式的资料提供任何一种即可）；</w:t>
      </w:r>
    </w:p>
    <w:p>
      <w:pPr>
        <w:pStyle w:val="null3"/>
      </w:pPr>
      <w:r>
        <w:rPr>
          <w:rFonts w:ascii="仿宋_GB2312" w:hAnsi="仿宋_GB2312" w:cs="仿宋_GB2312" w:eastAsia="仿宋_GB2312"/>
        </w:rPr>
        <w:t>3、税收缴纳证明：提供开标截止日前一年内已缴纳的至少一个月的纳税证明或完税证明，依法免税的单位应提供相关证明材料；</w:t>
      </w:r>
    </w:p>
    <w:p>
      <w:pPr>
        <w:pStyle w:val="null3"/>
      </w:pPr>
      <w:r>
        <w:rPr>
          <w:rFonts w:ascii="仿宋_GB2312" w:hAnsi="仿宋_GB2312" w:cs="仿宋_GB2312" w:eastAsia="仿宋_GB2312"/>
        </w:rPr>
        <w:t>4、社会保障资金缴纳证明：提供投标截止日前一年内已缴存的至少一个月的社会保障资金缴存单据或社保机构开具的社会保险参保缴费情况证明，依法不需要缴纳社会保障资金的单位应提供相关证明材料；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5、资质证书：供应商具备建设行政主管部门核发的市政公用工程施工总承包三级（含三级）以上资质；且具备有效的安全生产许可证。</w:t>
      </w:r>
    </w:p>
    <w:p>
      <w:pPr>
        <w:pStyle w:val="null3"/>
      </w:pPr>
      <w:r>
        <w:rPr>
          <w:rFonts w:ascii="仿宋_GB2312" w:hAnsi="仿宋_GB2312" w:cs="仿宋_GB2312" w:eastAsia="仿宋_GB2312"/>
        </w:rPr>
        <w:t>6、项目经理要求：供应商拟派项目经理具有市政公用工程专业注册建造师二级及以上执业资格，具备有效的安全生产考核合格证，在本单位注册且无在建工程。</w:t>
      </w:r>
    </w:p>
    <w:p>
      <w:pPr>
        <w:pStyle w:val="null3"/>
      </w:pPr>
      <w:r>
        <w:rPr>
          <w:rFonts w:ascii="仿宋_GB2312" w:hAnsi="仿宋_GB2312" w:cs="仿宋_GB2312" w:eastAsia="仿宋_GB2312"/>
        </w:rPr>
        <w:t>7、法定代表人授权委托书：法定代表人参加磋商的，须出示身份证明和身份证复印件；法定代表人授权他人参加磋商的，须提供法定代表人授权委托书及被授权人身份证；</w:t>
      </w:r>
    </w:p>
    <w:p>
      <w:pPr>
        <w:pStyle w:val="null3"/>
      </w:pPr>
      <w:r>
        <w:rPr>
          <w:rFonts w:ascii="仿宋_GB2312" w:hAnsi="仿宋_GB2312" w:cs="仿宋_GB2312" w:eastAsia="仿宋_GB2312"/>
        </w:rPr>
        <w:t>8、信誉要求：供应商不得为“信用中国”网站（www.creditchina.gov.cn）中列入“失信被执行人”（中国执行信息公开网http://zxgk.court.gov.cn/shixin/）和“重大税收违法失信主体”名单的供应商，不得为中国政府采购网（www.ccgp.gov.cn）政府采购“严重违法失信行为记录名单”中被财政部门禁止参加政府采购活动的供应商。 （供应商可不提供，以代理机构现场查询为准）</w:t>
      </w:r>
    </w:p>
    <w:p>
      <w:pPr>
        <w:pStyle w:val="null3"/>
      </w:pPr>
      <w:r>
        <w:rPr>
          <w:rFonts w:ascii="仿宋_GB2312" w:hAnsi="仿宋_GB2312" w:cs="仿宋_GB2312" w:eastAsia="仿宋_GB2312"/>
        </w:rPr>
        <w:t>9、非联合体投标声明：提供非联合体投标声明（格式自拟）。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西安市长安区王曲街道办事处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西安市长安区王曲街道北堡寨村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蒲航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13571852220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18161933378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采购包1：799,191.72元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为：参照国家计委关于印发《招标代理服务收费管理暂行办法》的通知（计价格〔2002〕1980号）及《国家发展改革委办公厅关于招标代理服务收费有关问题的通知》（发改办价格〔2003〕857号）文件规定的标准收取。 造价咨询服务费：参照陕西省物价局《关于我省工程造价咨询服务收费管理有关问题的通知》陕价行发〔2014〕88号文件收费标准。</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西安市长安区王曲街道办事处</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西安市长安区王曲街道办事处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西安市长安区王曲街道办事处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联系人：杨艳艳</w:t>
      </w:r>
    </w:p>
    <w:p>
      <w:pPr>
        <w:pStyle w:val="null3"/>
      </w:pPr>
      <w:r>
        <w:rPr>
          <w:rFonts w:ascii="仿宋_GB2312" w:hAnsi="仿宋_GB2312" w:cs="仿宋_GB2312" w:eastAsia="仿宋_GB2312"/>
        </w:rPr>
        <w:t>联系电话：18161933378</w:t>
      </w:r>
    </w:p>
    <w:p>
      <w:pPr>
        <w:pStyle w:val="null3"/>
      </w:pPr>
      <w:r>
        <w:rPr>
          <w:rFonts w:ascii="仿宋_GB2312" w:hAnsi="仿宋_GB2312" w:cs="仿宋_GB2312" w:eastAsia="仿宋_GB2312"/>
        </w:rPr>
        <w:t>地址：陕西省西安市曲江新区雁翔路旺座曲江E座29层2901号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799,191.72</w:t>
      </w:r>
    </w:p>
    <w:p>
      <w:pPr>
        <w:pStyle w:val="null3"/>
      </w:pPr>
      <w:r>
        <w:rPr>
          <w:rFonts w:ascii="仿宋_GB2312" w:hAnsi="仿宋_GB2312" w:cs="仿宋_GB2312" w:eastAsia="仿宋_GB2312"/>
        </w:rPr>
        <w:t>采购包最高限价（元）: 799,191.72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王曲街道马厂村病害路面修复项目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799,191.72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标的名称：王曲街道马厂村病害路面修复项目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、工程规模及建设内容：本工程共计</w:t>
            </w:r>
            <w:r>
              <w:rPr>
                <w:rFonts w:ascii="仿宋_GB2312" w:hAnsi="仿宋_GB2312" w:cs="仿宋_GB2312" w:eastAsia="仿宋_GB2312"/>
                <w:sz w:val="21"/>
              </w:rPr>
              <w:t>1</w:t>
            </w:r>
            <w:r>
              <w:rPr>
                <w:rFonts w:ascii="仿宋_GB2312" w:hAnsi="仿宋_GB2312" w:cs="仿宋_GB2312" w:eastAsia="仿宋_GB2312"/>
                <w:sz w:val="21"/>
              </w:rPr>
              <w:t>条道路，村内现状土路硬化长度共计</w:t>
            </w:r>
            <w:r>
              <w:rPr>
                <w:rFonts w:ascii="仿宋_GB2312" w:hAnsi="仿宋_GB2312" w:cs="仿宋_GB2312" w:eastAsia="仿宋_GB2312"/>
                <w:sz w:val="21"/>
              </w:rPr>
              <w:t>834m</w:t>
            </w:r>
            <w:r>
              <w:rPr>
                <w:rFonts w:ascii="仿宋_GB2312" w:hAnsi="仿宋_GB2312" w:cs="仿宋_GB2312" w:eastAsia="仿宋_GB2312"/>
                <w:sz w:val="21"/>
              </w:rPr>
              <w:t>，硬化宽度</w:t>
            </w:r>
            <w:r>
              <w:rPr>
                <w:rFonts w:ascii="仿宋_GB2312" w:hAnsi="仿宋_GB2312" w:cs="仿宋_GB2312" w:eastAsia="仿宋_GB2312"/>
                <w:sz w:val="21"/>
              </w:rPr>
              <w:t>4m</w:t>
            </w:r>
            <w:r>
              <w:rPr>
                <w:rFonts w:ascii="仿宋_GB2312" w:hAnsi="仿宋_GB2312" w:cs="仿宋_GB2312" w:eastAsia="仿宋_GB2312"/>
                <w:sz w:val="21"/>
              </w:rPr>
              <w:t>，硬化面积共计</w:t>
            </w:r>
            <w:r>
              <w:rPr>
                <w:rFonts w:ascii="仿宋_GB2312" w:hAnsi="仿宋_GB2312" w:cs="仿宋_GB2312" w:eastAsia="仿宋_GB2312"/>
                <w:sz w:val="21"/>
              </w:rPr>
              <w:t>3821.088</w:t>
            </w:r>
            <w:r>
              <w:rPr>
                <w:rFonts w:ascii="仿宋_GB2312" w:hAnsi="仿宋_GB2312" w:cs="仿宋_GB2312" w:eastAsia="仿宋_GB2312"/>
                <w:sz w:val="21"/>
              </w:rPr>
              <w:t>㎡。现状水泥混凝土路面加铺沥青长度为</w:t>
            </w:r>
            <w:r>
              <w:rPr>
                <w:rFonts w:ascii="仿宋_GB2312" w:hAnsi="仿宋_GB2312" w:cs="仿宋_GB2312" w:eastAsia="仿宋_GB2312"/>
                <w:sz w:val="21"/>
              </w:rPr>
              <w:t>834m</w:t>
            </w:r>
            <w:r>
              <w:rPr>
                <w:rFonts w:ascii="仿宋_GB2312" w:hAnsi="仿宋_GB2312" w:cs="仿宋_GB2312" w:eastAsia="仿宋_GB2312"/>
                <w:sz w:val="21"/>
              </w:rPr>
              <w:t>，道路宽度</w:t>
            </w:r>
            <w:r>
              <w:rPr>
                <w:rFonts w:ascii="仿宋_GB2312" w:hAnsi="仿宋_GB2312" w:cs="仿宋_GB2312" w:eastAsia="仿宋_GB2312"/>
                <w:sz w:val="21"/>
              </w:rPr>
              <w:t>4m</w:t>
            </w:r>
            <w:r>
              <w:rPr>
                <w:rFonts w:ascii="仿宋_GB2312" w:hAnsi="仿宋_GB2312" w:cs="仿宋_GB2312" w:eastAsia="仿宋_GB2312"/>
                <w:sz w:val="21"/>
              </w:rPr>
              <w:t>，加铺沥青面积共计</w:t>
            </w:r>
            <w:r>
              <w:rPr>
                <w:rFonts w:ascii="仿宋_GB2312" w:hAnsi="仿宋_GB2312" w:cs="仿宋_GB2312" w:eastAsia="仿宋_GB2312"/>
                <w:sz w:val="21"/>
              </w:rPr>
              <w:t>3821.088</w:t>
            </w:r>
            <w:r>
              <w:rPr>
                <w:rFonts w:ascii="仿宋_GB2312" w:hAnsi="仿宋_GB2312" w:cs="仿宋_GB2312" w:eastAsia="仿宋_GB2312"/>
                <w:sz w:val="21"/>
              </w:rPr>
              <w:t>㎡。部分路段增设排水沟，排水沟尺寸</w:t>
            </w:r>
            <w:r>
              <w:rPr>
                <w:rFonts w:ascii="仿宋_GB2312" w:hAnsi="仿宋_GB2312" w:cs="仿宋_GB2312" w:eastAsia="仿宋_GB2312"/>
                <w:sz w:val="21"/>
              </w:rPr>
              <w:t>0.4m*0.4m</w:t>
            </w:r>
            <w:r>
              <w:rPr>
                <w:rFonts w:ascii="仿宋_GB2312" w:hAnsi="仿宋_GB2312" w:cs="仿宋_GB2312" w:eastAsia="仿宋_GB2312"/>
                <w:sz w:val="21"/>
              </w:rPr>
              <w:t>，新建排水沟共计</w:t>
            </w:r>
            <w:r>
              <w:rPr>
                <w:rFonts w:ascii="仿宋_GB2312" w:hAnsi="仿宋_GB2312" w:cs="仿宋_GB2312" w:eastAsia="仿宋_GB2312"/>
                <w:sz w:val="21"/>
              </w:rPr>
              <w:t>211m</w:t>
            </w:r>
            <w:r>
              <w:rPr>
                <w:rFonts w:ascii="仿宋_GB2312" w:hAnsi="仿宋_GB2312" w:cs="仿宋_GB2312" w:eastAsia="仿宋_GB2312"/>
                <w:sz w:val="21"/>
              </w:rPr>
              <w:t>（其中新建盖板排水沟</w:t>
            </w:r>
            <w:r>
              <w:rPr>
                <w:rFonts w:ascii="仿宋_GB2312" w:hAnsi="仿宋_GB2312" w:cs="仿宋_GB2312" w:eastAsia="仿宋_GB2312"/>
                <w:sz w:val="21"/>
              </w:rPr>
              <w:t>199m</w:t>
            </w:r>
            <w:r>
              <w:rPr>
                <w:rFonts w:ascii="仿宋_GB2312" w:hAnsi="仿宋_GB2312" w:cs="仿宋_GB2312" w:eastAsia="仿宋_GB2312"/>
                <w:sz w:val="21"/>
              </w:rPr>
              <w:t>，一般排水沟</w:t>
            </w:r>
            <w:r>
              <w:rPr>
                <w:rFonts w:ascii="仿宋_GB2312" w:hAnsi="仿宋_GB2312" w:cs="仿宋_GB2312" w:eastAsia="仿宋_GB2312"/>
                <w:sz w:val="21"/>
              </w:rPr>
              <w:t>12m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、工期：</w:t>
            </w:r>
            <w:r>
              <w:rPr>
                <w:rFonts w:ascii="仿宋_GB2312" w:hAnsi="仿宋_GB2312" w:cs="仿宋_GB2312" w:eastAsia="仿宋_GB2312"/>
                <w:sz w:val="21"/>
              </w:rPr>
              <w:t>90</w:t>
            </w:r>
            <w:r>
              <w:rPr>
                <w:rFonts w:ascii="仿宋_GB2312" w:hAnsi="仿宋_GB2312" w:cs="仿宋_GB2312" w:eastAsia="仿宋_GB2312"/>
                <w:sz w:val="21"/>
              </w:rPr>
              <w:t>日历天。</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、质量标准：达到国家现行行业施工验收规范“合格”标准。</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、质保期：一年。</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、工程结算与支付：本项目采用固定综合单价合同。合同签订后，甲方向乙方支付合同总价的</w:t>
            </w:r>
            <w:r>
              <w:rPr>
                <w:rFonts w:ascii="仿宋_GB2312" w:hAnsi="仿宋_GB2312" w:cs="仿宋_GB2312" w:eastAsia="仿宋_GB2312"/>
                <w:sz w:val="21"/>
              </w:rPr>
              <w:t>30%</w:t>
            </w:r>
            <w:r>
              <w:rPr>
                <w:rFonts w:ascii="仿宋_GB2312" w:hAnsi="仿宋_GB2312" w:cs="仿宋_GB2312" w:eastAsia="仿宋_GB2312"/>
                <w:sz w:val="21"/>
              </w:rPr>
              <w:t>；工程量完成</w:t>
            </w:r>
            <w:r>
              <w:rPr>
                <w:rFonts w:ascii="仿宋_GB2312" w:hAnsi="仿宋_GB2312" w:cs="仿宋_GB2312" w:eastAsia="仿宋_GB2312"/>
                <w:sz w:val="21"/>
              </w:rPr>
              <w:t>50%</w:t>
            </w:r>
            <w:r>
              <w:rPr>
                <w:rFonts w:ascii="仿宋_GB2312" w:hAnsi="仿宋_GB2312" w:cs="仿宋_GB2312" w:eastAsia="仿宋_GB2312"/>
                <w:sz w:val="21"/>
              </w:rPr>
              <w:t>，甲方向乙方支付合同总价</w:t>
            </w:r>
            <w:r>
              <w:rPr>
                <w:rFonts w:ascii="仿宋_GB2312" w:hAnsi="仿宋_GB2312" w:cs="仿宋_GB2312" w:eastAsia="仿宋_GB2312"/>
                <w:sz w:val="21"/>
              </w:rPr>
              <w:t>40%</w:t>
            </w:r>
            <w:r>
              <w:rPr>
                <w:rFonts w:ascii="仿宋_GB2312" w:hAnsi="仿宋_GB2312" w:cs="仿宋_GB2312" w:eastAsia="仿宋_GB2312"/>
                <w:sz w:val="21"/>
              </w:rPr>
              <w:t>；工程量全部完成，甲方向乙方支付合同总价</w:t>
            </w:r>
            <w:r>
              <w:rPr>
                <w:rFonts w:ascii="仿宋_GB2312" w:hAnsi="仿宋_GB2312" w:cs="仿宋_GB2312" w:eastAsia="仿宋_GB2312"/>
                <w:sz w:val="21"/>
              </w:rPr>
              <w:t>20%</w:t>
            </w:r>
            <w:r>
              <w:rPr>
                <w:rFonts w:ascii="仿宋_GB2312" w:hAnsi="仿宋_GB2312" w:cs="仿宋_GB2312" w:eastAsia="仿宋_GB2312"/>
                <w:sz w:val="21"/>
              </w:rPr>
              <w:t>；竣工决算完成后，甲方向乙方支付合同总价</w:t>
            </w:r>
            <w:r>
              <w:rPr>
                <w:rFonts w:ascii="仿宋_GB2312" w:hAnsi="仿宋_GB2312" w:cs="仿宋_GB2312" w:eastAsia="仿宋_GB2312"/>
                <w:sz w:val="21"/>
              </w:rPr>
              <w:t>7%</w:t>
            </w:r>
            <w:r>
              <w:rPr>
                <w:rFonts w:ascii="仿宋_GB2312" w:hAnsi="仿宋_GB2312" w:cs="仿宋_GB2312" w:eastAsia="仿宋_GB2312"/>
                <w:sz w:val="21"/>
              </w:rPr>
              <w:t>；质保期（一年）满后，甲方向乙方支付合同总价</w:t>
            </w:r>
            <w:r>
              <w:rPr>
                <w:rFonts w:ascii="仿宋_GB2312" w:hAnsi="仿宋_GB2312" w:cs="仿宋_GB2312" w:eastAsia="仿宋_GB2312"/>
                <w:sz w:val="21"/>
              </w:rPr>
              <w:t>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、工程量清单：另附。</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质量要求：达到国家现行行业施工验收规范“合格”标准。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总工期90日历天。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成交单位递交纸质文件（成交单位在领取中标通知书前将纸质版投标文件正本 1套、副本2 套打印盖章后提交至采购代理机构处，以便采购人进行留存备案等工作，成交单位应保持投标文件纸质版内容与电子版内容完全一致，否则将承担一切法律责任。纸质投标文件一律采用书籍(胶装)方式装订）。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会计报告，或其投标前三个月内基本存款账户开户银行出具的资信证明及基本存款账户开户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会计报告，或其投标前三个月内基本存款账户开户银行出具的资信证明及基本存款账户开户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供应商具备建设行政主管部门核发的市政公用工程施工总承包三级（含三级）以上资质；且具备有效的安全生产许可证。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供应商拟派项目经理具有市政公用工程专业注册建造师二级及以上执业资格，具备有效的安全生产考核合格证，在本单位注册且无在建工程。</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法定代表人参加磋商的，须出示身份证明和身份证复印件；法定代表人授权他人参加磋商的，须提供法定代表人授权委托书及被授权人身份证；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名单的供应商，不得为中国政府采购网（www.ccgp.gov.cn）政府采购“严重违法失信行为记录名单”中被财政部门禁止参加政府采购活动的供应商。 （供应商可不提供，以代理机构现场查询为准）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提供非联合体投标声明（格式自拟）。</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已标价工程量清单 供应商认为需要提供的其他资料.docx 中小企业声明函 残疾人福利性单位声明函 报价函 标的清单 响应函 资格证明文件.docx 监狱企业的证明文件 响应方案.docx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供应商提供已标价工程量清单</w:t>
            </w:r>
          </w:p>
        </w:tc>
        <w:tc>
          <w:tcPr>
            <w:tcW w:type="dxa" w:w="1661"/>
          </w:tcPr>
          <w:p>
            <w:pPr>
              <w:pStyle w:val="null3"/>
            </w:pPr>
            <w:r>
              <w:rPr>
                <w:rFonts w:ascii="仿宋_GB2312" w:hAnsi="仿宋_GB2312" w:cs="仿宋_GB2312" w:eastAsia="仿宋_GB2312"/>
              </w:rPr>
              <w:t>响应文件封面 已标价工程量清单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供应商基本信息(实质性要求)</w:t>
            </w:r>
          </w:p>
        </w:tc>
        <w:tc>
          <w:tcPr>
            <w:tcW w:type="dxa" w:w="3322"/>
          </w:tcPr>
          <w:p>
            <w:pPr>
              <w:pStyle w:val="null3"/>
            </w:pPr>
            <w:r>
              <w:rPr>
                <w:rFonts w:ascii="仿宋_GB2312" w:hAnsi="仿宋_GB2312" w:cs="仿宋_GB2312" w:eastAsia="仿宋_GB2312"/>
              </w:rPr>
              <w:t>供应商提供的名称、签章等信息与营业执照、资质证书等一致</w:t>
            </w:r>
          </w:p>
        </w:tc>
        <w:tc>
          <w:tcPr>
            <w:tcW w:type="dxa" w:w="1661"/>
          </w:tcPr>
          <w:p>
            <w:pPr>
              <w:pStyle w:val="null3"/>
            </w:pPr>
            <w:r>
              <w:rPr>
                <w:rFonts w:ascii="仿宋_GB2312" w:hAnsi="仿宋_GB2312" w:cs="仿宋_GB2312" w:eastAsia="仿宋_GB2312"/>
              </w:rPr>
              <w:t>响应文件封面 已标价工程量清单 供应商认为需要提供的其他资料.docx 中小企业声明函 残疾人福利性单位声明函 报价函 标的清单 响应函 资格证明文件.docx 监狱企业的证明文件 响应方案.docx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方案总体思路清晰、合理、可操作性强、可执行程度强，且能很好推动项目实施得8～12（含）分；方案总体思路基本明确、可行性、合理性高得4～8(含)分；方案思路模糊、可行性、合理性一般得0～4(含)分。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确保本项目质量的技术组织措施，措施内容科学可行、有针对性且内容详细计4～8（含）分，措施内容较为可行、针对性不强、内容简单计0～4（含）分。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确保安全生产和文明施工的技术组织措施</w:t>
            </w:r>
          </w:p>
        </w:tc>
        <w:tc>
          <w:tcPr>
            <w:tcW w:type="dxa" w:w="2492"/>
          </w:tcPr>
          <w:p>
            <w:pPr>
              <w:pStyle w:val="null3"/>
            </w:pPr>
            <w:r>
              <w:rPr>
                <w:rFonts w:ascii="仿宋_GB2312" w:hAnsi="仿宋_GB2312" w:cs="仿宋_GB2312" w:eastAsia="仿宋_GB2312"/>
              </w:rPr>
              <w:t>确保安全生产和文明施工的技术组织措施，措施内容科学可行、有针对性且内容详细计4～8（含）分，措施内容较为可行、针对性不强、内容简单计0～4（含）分。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确保工期的技术组织措施，措施内容科学可行、有针对性且内容详细计4～8（含）分，措施内容较为可行、针对性不强、内容简单计0～4（含）分。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确保治污减霾和防尘污染的技术组织措施</w:t>
            </w:r>
          </w:p>
        </w:tc>
        <w:tc>
          <w:tcPr>
            <w:tcW w:type="dxa" w:w="2492"/>
          </w:tcPr>
          <w:p>
            <w:pPr>
              <w:pStyle w:val="null3"/>
            </w:pPr>
            <w:r>
              <w:rPr>
                <w:rFonts w:ascii="仿宋_GB2312" w:hAnsi="仿宋_GB2312" w:cs="仿宋_GB2312" w:eastAsia="仿宋_GB2312"/>
              </w:rPr>
              <w:t>确保治污减霾和防尘污染的技术组织措施，措施内容科学可行、有针对性且内容详细计4～8（含）分，措施内容较为可行、针对性不强、内容简单计0～4（含）分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项目经理部组成及劳动力投入</w:t>
            </w:r>
          </w:p>
        </w:tc>
        <w:tc>
          <w:tcPr>
            <w:tcW w:type="dxa" w:w="2492"/>
          </w:tcPr>
          <w:p>
            <w:pPr>
              <w:pStyle w:val="null3"/>
            </w:pPr>
            <w:r>
              <w:rPr>
                <w:rFonts w:ascii="仿宋_GB2312" w:hAnsi="仿宋_GB2312" w:cs="仿宋_GB2312" w:eastAsia="仿宋_GB2312"/>
              </w:rPr>
              <w:t>项目经理部组成及劳动力投入，人员搭配合理，数量充足，经验丰富，证明材料详尽计4～8（含）分，人员搭配较为合理，数量较充足，经验不足，证明材料不够详尽计0～4（含）分。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施工机械及工器具的配备情况</w:t>
            </w:r>
          </w:p>
        </w:tc>
        <w:tc>
          <w:tcPr>
            <w:tcW w:type="dxa" w:w="2492"/>
          </w:tcPr>
          <w:p>
            <w:pPr>
              <w:pStyle w:val="null3"/>
            </w:pPr>
            <w:r>
              <w:rPr>
                <w:rFonts w:ascii="仿宋_GB2312" w:hAnsi="仿宋_GB2312" w:cs="仿宋_GB2312" w:eastAsia="仿宋_GB2312"/>
              </w:rPr>
              <w:t>施工机械及工器具的配备情况，机械、设备安排合理、完整计4～8（含）分，机械、设备安排简单计0～4（含）分。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针对本项目实际需求，提供实质性的合理化建议。 建议内容科学可行，有针对性且内容丰富，得 2～4 （含）分； 建议内容基本可行，具有一定的针对性，得 0～2（含）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供应商提供2022年1月1日以来类似项目业绩合同（以合同签订时间为准），每份计2分，满分6分。（注：以上证明文件在磋商响应文件中附业绩合同扫描件并加盖公章）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1.经初审合格的响应文件，其最终磋商报价为有效磋商报价。 2.满足磋商文件实质性要求且最终报价最低的供应商的价格为磋商基准价，其价格分为满分 30 分。 3.磋商报价得分=（磋商基准价/有效磋商报价）×30。 4.磋商报价不完整的，不得进入磋商基准价的计算，本项得 0 分。 5.本项目专门面向中小企业，不再单独进行价格扣除。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