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版本号：ZKZB-251905320251011003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杜曲街道新樊村村内道路硬化及病害路面修复项目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ZKZB-2519053</w:t>
      </w:r>
      <w:r>
        <w:br/>
      </w:r>
      <w:r>
        <w:br/>
      </w:r>
      <w:r>
        <w:br/>
      </w:r>
    </w:p>
    <w:p>
      <w:pPr>
        <w:pStyle w:val="null3"/>
        <w:jc w:val="center"/>
        <w:outlineLvl w:val="2"/>
      </w:pPr>
      <w:r>
        <w:rPr>
          <w:rFonts w:ascii="仿宋_GB2312" w:hAnsi="仿宋_GB2312" w:cs="仿宋_GB2312" w:eastAsia="仿宋_GB2312"/>
          <w:sz w:val="28"/>
          <w:b/>
        </w:rPr>
        <w:t>西安市长安区杜曲街道办事处</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西安市长安区杜曲街道办事处</w:t>
      </w:r>
      <w:r>
        <w:rPr>
          <w:rFonts w:ascii="仿宋_GB2312" w:hAnsi="仿宋_GB2312" w:cs="仿宋_GB2312" w:eastAsia="仿宋_GB2312"/>
        </w:rPr>
        <w:t>委托，拟对</w:t>
      </w:r>
      <w:r>
        <w:rPr>
          <w:rFonts w:ascii="仿宋_GB2312" w:hAnsi="仿宋_GB2312" w:cs="仿宋_GB2312" w:eastAsia="仿宋_GB2312"/>
        </w:rPr>
        <w:t>杜曲街道新樊村村内道路硬化及病害路面修复项目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ZKZB-2519053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杜曲街道新樊村村内道路硬化及病害路面修复项目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道路工程、排水工程、拆除工程、修复工程、附属构筑物工程。具体内容以施工图纸和工程量清单为准。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采购包1（杜曲街道新樊村村内道路硬化及病害路面修复项目）：属于专门面向中小企业采购。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pPr>
        <w:pStyle w:val="null3"/>
      </w:pPr>
      <w:r>
        <w:rPr>
          <w:rFonts w:ascii="仿宋_GB2312" w:hAnsi="仿宋_GB2312" w:cs="仿宋_GB2312" w:eastAsia="仿宋_GB2312"/>
        </w:rPr>
        <w:t>3、税收缴纳证明：提供开标截止时间前6个月内任意一个月的纳税证明或完税证明，纳税证明或完税证明上应有代收机构或税务机关的公章。依法免税的供应商应提供相关文件证明。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供应商及项目负责人：供应商须具备建设行政主管部门颁发的市政公用工程施工总承包三级及以上资质证书，且具备合格有效的安全生产许可证；拟派项目经理须具备市政公用工程专业二级或以上注册建造师执业资格并具有合法有效的安全生产考核合格证，在本单位注册，且无在建工程。</w:t>
      </w:r>
    </w:p>
    <w:p>
      <w:pPr>
        <w:pStyle w:val="null3"/>
      </w:pPr>
      <w:r>
        <w:rPr>
          <w:rFonts w:ascii="仿宋_GB2312" w:hAnsi="仿宋_GB2312" w:cs="仿宋_GB2312" w:eastAsia="仿宋_GB2312"/>
        </w:rPr>
        <w:t>9、信用记录：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声明）。</w:t>
      </w:r>
    </w:p>
    <w:p>
      <w:pPr>
        <w:pStyle w:val="null3"/>
      </w:pPr>
      <w:r>
        <w:rPr>
          <w:rFonts w:ascii="仿宋_GB2312" w:hAnsi="仿宋_GB2312" w:cs="仿宋_GB2312" w:eastAsia="仿宋_GB2312"/>
        </w:rPr>
        <w:t>11、本项目不接受联合体投标：本项目不接受联合体投标（提供书面声明）。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西安市长安区杜曲街道办事处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长安区杜曲新街9号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15129006321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王嘉琦、郭咪咪、张倩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13119171001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采购包1：1,792,245.68元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开户名称：中科经纬工程技术有限公司</w:t>
            </w:r>
          </w:p>
          <w:p>
            <w:pPr>
              <w:pStyle w:val="null3"/>
            </w:pPr>
            <w:r>
              <w:rPr>
                <w:rFonts w:ascii="仿宋_GB2312" w:hAnsi="仿宋_GB2312" w:cs="仿宋_GB2312" w:eastAsia="仿宋_GB2312"/>
              </w:rPr>
              <w:t>开户银行：华夏银行股份有限公司成都分行</w:t>
            </w:r>
          </w:p>
          <w:p>
            <w:pPr>
              <w:pStyle w:val="null3"/>
            </w:pPr>
            <w:r>
              <w:rPr>
                <w:rFonts w:ascii="仿宋_GB2312" w:hAnsi="仿宋_GB2312" w:cs="仿宋_GB2312" w:eastAsia="仿宋_GB2312"/>
              </w:rPr>
              <w:t>银行账号：11350000000923966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作为基数，参照发改价格[2011]534号文件及《国家发展改革委关于进一步放开建设项目专业服务价格的通知》（发改价格〔2015〕299号）文的规定标准收取；造价咨询服务费收费标准：以招标最高限价为基数，参照《陕西省物价局、住房和城乡建设厅关于我省工程造价咨询服务收费管理有关问题的通知》（陕价行发〔2014〕88号）文的规定标准收取。服务费可以采取银行转账或现金等方式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西安市长安区杜曲街道办事处</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西安市长安区杜曲街道办事处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西安市长安区杜曲街道办事处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需完全响应磋商文件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联系人：王嘉琦</w:t>
      </w:r>
    </w:p>
    <w:p>
      <w:pPr>
        <w:pStyle w:val="null3"/>
      </w:pPr>
      <w:r>
        <w:rPr>
          <w:rFonts w:ascii="仿宋_GB2312" w:hAnsi="仿宋_GB2312" w:cs="仿宋_GB2312" w:eastAsia="仿宋_GB2312"/>
        </w:rPr>
        <w:t>联系电话：13119171001</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1,792,245.68</w:t>
      </w:r>
    </w:p>
    <w:p>
      <w:pPr>
        <w:pStyle w:val="null3"/>
      </w:pPr>
      <w:r>
        <w:rPr>
          <w:rFonts w:ascii="仿宋_GB2312" w:hAnsi="仿宋_GB2312" w:cs="仿宋_GB2312" w:eastAsia="仿宋_GB2312"/>
        </w:rPr>
        <w:t>采购包最高限价（元）: 1,792,245.68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杜曲街道新樊村村内道路硬化及病害路面修复项目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1,792,245.68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标的名称：杜曲街道新樊村村内道路硬化及病害路面修复项目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、工程内容</w:t>
            </w:r>
          </w:p>
          <w:p>
            <w:pPr>
              <w:pStyle w:val="null3"/>
              <w:jc w:val="left"/>
            </w:pPr>
            <w:r>
              <w:rPr>
                <w:rFonts w:ascii="仿宋_GB2312" w:hAnsi="仿宋_GB2312" w:cs="仿宋_GB2312" w:eastAsia="仿宋_GB2312"/>
                <w:sz w:val="21"/>
                <w:color w:val="000000"/>
              </w:rPr>
              <w:t>(一)道路部分</w:t>
            </w:r>
          </w:p>
          <w:p>
            <w:pPr>
              <w:pStyle w:val="null3"/>
              <w:jc w:val="left"/>
            </w:pPr>
            <w:r>
              <w:rPr>
                <w:rFonts w:ascii="仿宋_GB2312" w:hAnsi="仿宋_GB2312" w:cs="仿宋_GB2312" w:eastAsia="仿宋_GB2312"/>
                <w:sz w:val="21"/>
                <w:color w:val="000000"/>
              </w:rPr>
              <w:t>1.村内现状土路硬化。</w:t>
            </w:r>
          </w:p>
          <w:p>
            <w:pPr>
              <w:pStyle w:val="null3"/>
              <w:jc w:val="left"/>
            </w:pPr>
            <w:r>
              <w:rPr>
                <w:rFonts w:ascii="仿宋_GB2312" w:hAnsi="仿宋_GB2312" w:cs="仿宋_GB2312" w:eastAsia="仿宋_GB2312"/>
                <w:sz w:val="21"/>
                <w:color w:val="000000"/>
              </w:rPr>
              <w:t>2.现状水泥混凝土路面加铺混凝土。</w:t>
            </w:r>
          </w:p>
          <w:p>
            <w:pPr>
              <w:pStyle w:val="null3"/>
              <w:jc w:val="left"/>
            </w:pPr>
            <w:r>
              <w:rPr>
                <w:rFonts w:ascii="仿宋_GB2312" w:hAnsi="仿宋_GB2312" w:cs="仿宋_GB2312" w:eastAsia="仿宋_GB2312"/>
                <w:sz w:val="21"/>
                <w:color w:val="000000"/>
              </w:rPr>
              <w:t>(二)排水部分</w:t>
            </w:r>
          </w:p>
          <w:p>
            <w:pPr>
              <w:pStyle w:val="null3"/>
              <w:jc w:val="left"/>
            </w:pPr>
            <w:r>
              <w:rPr>
                <w:rFonts w:ascii="仿宋_GB2312" w:hAnsi="仿宋_GB2312" w:cs="仿宋_GB2312" w:eastAsia="仿宋_GB2312"/>
                <w:sz w:val="21"/>
                <w:color w:val="000000"/>
              </w:rPr>
              <w:t>通村路</w:t>
            </w:r>
            <w:r>
              <w:rPr>
                <w:rFonts w:ascii="仿宋_GB2312" w:hAnsi="仿宋_GB2312" w:cs="仿宋_GB2312" w:eastAsia="仿宋_GB2312"/>
                <w:sz w:val="21"/>
                <w:color w:val="000000"/>
              </w:rPr>
              <w:t>1-2单侧混凝土排水沟(含钢筋混凝土篦子),排水沟尺寸0.25m*0.3m,长度141m,通村路3双侧排水沟混凝土排水沟排水沟尺寸 0.4m*0.4m,长度112m。冯家村村道1更换原 D800mm波纹管为d800m钢筋混凝土管，长度198m,增设水渠盖板69个新建凝土排水沟(含钢筋混凝土篦子)，排水沟尺寸0.25m*0.3m,长度17m。东五路增设水渠盖板512个，西七路新建混凝土排水沟，排水沟尺寸 0.4m*0.4m，长度 59m。</w:t>
            </w:r>
          </w:p>
          <w:p>
            <w:pPr>
              <w:pStyle w:val="null3"/>
              <w:jc w:val="left"/>
            </w:pPr>
            <w:r>
              <w:rPr>
                <w:rFonts w:ascii="仿宋_GB2312" w:hAnsi="仿宋_GB2312" w:cs="仿宋_GB2312" w:eastAsia="仿宋_GB2312"/>
                <w:sz w:val="21"/>
                <w:color w:val="000000"/>
              </w:rPr>
              <w:t>具体详见工程量清单。</w:t>
            </w:r>
          </w:p>
          <w:p>
            <w:pPr>
              <w:pStyle w:val="null3"/>
            </w:pPr>
            <w:r>
              <w:rPr>
                <w:rFonts w:ascii="仿宋_GB2312" w:hAnsi="仿宋_GB2312" w:cs="仿宋_GB2312" w:eastAsia="仿宋_GB2312"/>
                <w:sz w:val="21"/>
              </w:rPr>
              <w:t>（二）工程地点：</w:t>
            </w:r>
            <w:r>
              <w:rPr>
                <w:rFonts w:ascii="仿宋_GB2312" w:hAnsi="仿宋_GB2312" w:cs="仿宋_GB2312" w:eastAsia="仿宋_GB2312"/>
                <w:sz w:val="21"/>
              </w:rPr>
              <w:t>西安市长安区</w:t>
            </w:r>
            <w:r>
              <w:rPr>
                <w:rFonts w:ascii="仿宋_GB2312" w:hAnsi="仿宋_GB2312" w:cs="仿宋_GB2312" w:eastAsia="仿宋_GB2312"/>
                <w:sz w:val="21"/>
              </w:rPr>
              <w:t>杜曲街道新樊村村内</w:t>
            </w:r>
          </w:p>
          <w:p>
            <w:pPr>
              <w:pStyle w:val="null3"/>
            </w:pPr>
            <w:r>
              <w:rPr>
                <w:rFonts w:ascii="仿宋_GB2312" w:hAnsi="仿宋_GB2312" w:cs="仿宋_GB2312" w:eastAsia="仿宋_GB2312"/>
                <w:sz w:val="21"/>
              </w:rPr>
              <w:t>（三）计划工期：</w:t>
            </w:r>
            <w:r>
              <w:rPr>
                <w:rFonts w:ascii="仿宋_GB2312" w:hAnsi="仿宋_GB2312" w:cs="仿宋_GB2312" w:eastAsia="仿宋_GB2312"/>
                <w:sz w:val="21"/>
              </w:rPr>
              <w:t>工程建设工期为</w:t>
            </w:r>
            <w:r>
              <w:rPr>
                <w:rFonts w:ascii="仿宋_GB2312" w:hAnsi="仿宋_GB2312" w:cs="仿宋_GB2312" w:eastAsia="仿宋_GB2312"/>
                <w:sz w:val="21"/>
              </w:rPr>
              <w:t xml:space="preserve">5 </w:t>
            </w:r>
            <w:r>
              <w:rPr>
                <w:rFonts w:ascii="仿宋_GB2312" w:hAnsi="仿宋_GB2312" w:cs="仿宋_GB2312" w:eastAsia="仿宋_GB2312"/>
                <w:sz w:val="21"/>
              </w:rPr>
              <w:t>个月。</w:t>
            </w:r>
          </w:p>
          <w:p>
            <w:pPr>
              <w:pStyle w:val="null3"/>
            </w:pPr>
            <w:r>
              <w:rPr>
                <w:rFonts w:ascii="仿宋_GB2312" w:hAnsi="仿宋_GB2312" w:cs="仿宋_GB2312" w:eastAsia="仿宋_GB2312"/>
                <w:sz w:val="21"/>
              </w:rPr>
              <w:t>（四）工程质量：质量达到合格标准，并满足国家相关标准、规范及有关技术文件要求。</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、详见附件工程量清单</w:t>
            </w:r>
            <w:r>
              <w:rPr>
                <w:rFonts w:ascii="仿宋_GB2312" w:hAnsi="仿宋_GB2312" w:cs="仿宋_GB2312" w:eastAsia="仿宋_GB2312"/>
                <w:sz w:val="21"/>
                <w:b/>
              </w:rPr>
              <w:t>及施工图纸。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1、2025年《陕西省建设工程工程量清单计价计算标准》等国家相关规定。 2、《陕西省市政工程基价表》（2025），《陕西省房屋建筑与装饰工程基价表》（2025），《陕西省安装工程基价表》(2025)，《陕西省园林绿化工程基价表》（2025）及相关配套文件进行编制。3、劳保费用按照陕建发【2021】1021号文《关于全省统一停止收缴建筑业劳保费用的通知》等其他有关文件。4、税金执行陕建发【2019】45号《关于调整我省建设工程计价依据的通知》。5、措施执行陕建发【2019】1246号《关关于发布我省落实建筑工人实名制管理计价依据的通知》。6、建设工程扬尘治理专项措施费按陕建发【2017】270号。7、相关资料汇编。 8、主要材料价格依据当地当期市场价。 9、本项目采用广联达GCCP7.0，版本号7.5000.23.1编制。10、工程特点及常规施工方案。</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1、代理服务费及工程造价服务费由成交单位在领取成交通知书时一次性支付。 2、代理服务费的计算方法：以成交价作为基数，参照发改价格[2011]534号文件及《国家发展改革委关于进一步放开建设项目专业服务价格的通知》（发改价格〔2015〕299号）文的规定标准收取；造价咨询服务费收费标准：以招标最高限价为基数，参照《陕西省物价局、住房和城乡建设厅关于我省工程造价咨询服务收费管理有关问题的通知》（陕价行发〔2014〕88号）文的规定标准收取，服务费可以采取银行转账或现金等方式支付。 3、以转账方式缴纳。 收款账户信息： 户名：中科经纬工程技术有限公司 地址：成都市青羊区敬业路218号15栋1楼1号 电话：028-67775960 统一社会信用代码：91510000MA61Y03R4K 开户银行：华夏银行股份有限公司成都分行 银行账号：11350000000923966 成交供应商在中标(成交)结果公告结束后3个工作日内向代理机构提供纸质版响应文件，响应文件为正本1份，副本2份，电子U盘1份(U盘内容包括Word版本、签字盖章扫描后的PDF版本响应文件及电子投标书)。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 号）； （10）《财政部 农业农村部 国家乡村振兴局 中华全国供销合作总社关于印发&lt;关于深入开展政府采购脱贫地区农副产品工作推进乡村产业振兴的实施意见&gt;的通知》（财库〔2021〕20号）；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w:t>
            </w:r>
          </w:p>
        </w:tc>
        <w:tc>
          <w:tcPr>
            <w:tcW w:type="dxa" w:w="3322"/>
          </w:tcPr>
          <w:p>
            <w:pPr>
              <w:pStyle w:val="null3"/>
            </w:pPr>
            <w:r>
              <w:rPr>
                <w:rFonts w:ascii="仿宋_GB2312" w:hAnsi="仿宋_GB2312" w:cs="仿宋_GB2312" w:eastAsia="仿宋_GB2312"/>
              </w:rPr>
              <w:t>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供应商及项目负责人</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证书，且具备合格有效的安全生产许可证；拟派项目经理须具备市政公用工程专业二级或以上注册建造师执业资格并具有合法有效的安全生产考核合格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方案非常详细并且完整可行、有针对性，完全满足项目实施的得15分； 方案较详细完整、可行，较利于项目实施的得10分； 方案基本可行，基本满足项目实施需要的得5分； 其他或未提供得0分。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措施计划齐全、合理且切实可行，完全满足采购人需求得6分；措施计划齐全、合理、基本可行，基本满足采购人需求得4分；措施计划基本完备齐全、合理性、可行性较差，得2分； 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设备配备、劳动力配备、资金配备满足本工程要求得10分；设备配备、劳动力配备、资金配备不全面得7分；设备配备、劳动力配备、资金配备一般得5分；不满足施工要求得3分；未提供不计分。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现场扬尘管理措施合理、有详尽的扬尘控制措施并可达到国家控制的标准得4分；现场扬尘管理措施较为合理得2分；现场扬尘管理措施一般得1分；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项目实施阶段及完成后所承诺的责任、服务内容，并针对本项目实际需求提供实质性服务承诺，确有利于本次招标，服务内容全面合理，实施性强得4分；服务内容一般，实施性一般得2分；内容不全面、实施性不强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1日至开标时间前类似项目业绩；每提供1份计4分，最高得8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详见附件：施工合同--杜曲街道新樊村村内道路路化及病害路面修复项目.docx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