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版本号：HRC-ZBDL-2025-0132020250924002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长安区特困人员个人清洁和康复理疗服务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HRC-ZBDL-2025-01320</w:t>
      </w:r>
      <w:r>
        <w:br/>
      </w:r>
      <w:r>
        <w:br/>
      </w:r>
      <w:r>
        <w:br/>
      </w:r>
    </w:p>
    <w:p>
      <w:pPr>
        <w:pStyle w:val="null3"/>
        <w:jc w:val="center"/>
        <w:outlineLvl w:val="2"/>
      </w:pPr>
      <w:r>
        <w:rPr>
          <w:rFonts w:ascii="仿宋_GB2312" w:hAnsi="仿宋_GB2312" w:cs="仿宋_GB2312" w:eastAsia="仿宋_GB2312"/>
          <w:sz w:val="28"/>
          <w:b/>
        </w:rPr>
        <w:t>西安市长安区民政局</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西安市长安区民政局</w:t>
      </w:r>
      <w:r>
        <w:rPr>
          <w:rFonts w:ascii="仿宋_GB2312" w:hAnsi="仿宋_GB2312" w:cs="仿宋_GB2312" w:eastAsia="仿宋_GB2312"/>
        </w:rPr>
        <w:t>委托，拟对</w:t>
      </w:r>
      <w:r>
        <w:rPr>
          <w:rFonts w:ascii="仿宋_GB2312" w:hAnsi="仿宋_GB2312" w:cs="仿宋_GB2312" w:eastAsia="仿宋_GB2312"/>
        </w:rPr>
        <w:t>长安区特困人员个人清洁和康复理疗服务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HRC-ZBDL-2025-01320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长安区特困人员个人清洁和康复理疗服务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长安区有个人清洁需求的267户和有康复理疗需求的137户特困人员开展个人清洁和康复理疗服务；主要功能或目标:个人清洁包含洗头、理发、剃须、剪指甲、助餐、助洁；康复理疗包含肢体康复、精神慰藉、语言障碍康复、物理疗法、运动疗法、肌肉训练、平衡与协调训练、步行训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合格有效的法人或者其他组织的营业执照等证明文件，自然人的身份证明；供应商是法人或其他组织的应提供营业执照等证明文件，供应商是自然人的应提供有效的自然人身份证明；</w:t>
      </w:r>
    </w:p>
    <w:p>
      <w:pPr>
        <w:pStyle w:val="null3"/>
      </w:pPr>
      <w:r>
        <w:rPr>
          <w:rFonts w:ascii="仿宋_GB2312" w:hAnsi="仿宋_GB2312" w:cs="仿宋_GB2312" w:eastAsia="仿宋_GB2312"/>
        </w:rPr>
        <w:t>2、财务状况报告：提供2023或2024年度经审计的财务会计报告，或其磋商前三个月内基本存款账户开户银行出具的资信证明及基本存款账户开户证明，或财政部门认可的政府采购专业担保机构出具的磋商担保函（以上三种形式的资料提供任何一种即可）；</w:t>
      </w:r>
    </w:p>
    <w:p>
      <w:pPr>
        <w:pStyle w:val="null3"/>
      </w:pPr>
      <w:r>
        <w:rPr>
          <w:rFonts w:ascii="仿宋_GB2312" w:hAnsi="仿宋_GB2312" w:cs="仿宋_GB2312" w:eastAsia="仿宋_GB2312"/>
        </w:rPr>
        <w:t>3、税收缴纳证明：提供开标截止日前一年内已缴纳的至少一个月的纳税证明或完税证明，依法免税的单位应提供相关证明材料；</w:t>
      </w:r>
    </w:p>
    <w:p>
      <w:pPr>
        <w:pStyle w:val="null3"/>
      </w:pPr>
      <w:r>
        <w:rPr>
          <w:rFonts w:ascii="仿宋_GB2312" w:hAnsi="仿宋_GB2312" w:cs="仿宋_GB2312" w:eastAsia="仿宋_GB2312"/>
        </w:rPr>
        <w:t>4、社会保障资金缴存证明：提供开标截止日前一年内已缴存的至少一个月的社会保障资金缴存单据或社保机构开具的社会保险参保缴费情况证明，依法不需要缴纳社会保障资金的单位应提供相关证明材料；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5、授权委托：法定代表人授权书及被授权人身份证明（附法定代表人身份证复印件）（法定代表人直接磋商只需提交其身份证明）；</w:t>
      </w:r>
    </w:p>
    <w:p>
      <w:pPr>
        <w:pStyle w:val="null3"/>
      </w:pPr>
      <w:r>
        <w:rPr>
          <w:rFonts w:ascii="仿宋_GB2312" w:hAnsi="仿宋_GB2312" w:cs="仿宋_GB2312" w:eastAsia="仿宋_GB2312"/>
        </w:rPr>
        <w:t>6、信用查询：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注：信用查询以代理机构现场查询为准，供应商可不提供；</w:t>
      </w:r>
    </w:p>
    <w:p>
      <w:pPr>
        <w:pStyle w:val="null3"/>
      </w:pPr>
      <w:r>
        <w:rPr>
          <w:rFonts w:ascii="仿宋_GB2312" w:hAnsi="仿宋_GB2312" w:cs="仿宋_GB2312" w:eastAsia="仿宋_GB2312"/>
        </w:rPr>
        <w:t>7、非联合体投标：供应商提供《非联合体、不分包投标声明》，供应商应提交的相关资格证明材料视为独立响应，不分包。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西安市长安区民政局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西安市长安区西长安街669号区政府东三楼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029-85291181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张婷、杨艳艳、王琛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18161933378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政府采购中心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采购包1：438,000.00元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关于印发&lt;招标代理服务收费管理暂行办法&gt;的通知》(计价格(2002〕1980号)、《国家发展改革委办公厅关于招标代理服务收费有关问题的通知》(发改办价格(2003〕857号)文件规定标准收取。(不足5000元按照 5000元收取)。 2.中标人应在领取成交通知书前，向招标代理机构一次付清招标代理服务费。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西安市长安区民政局</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西安市长安区民政局</w:t>
      </w:r>
      <w:r>
        <w:rPr>
          <w:rFonts w:ascii="仿宋_GB2312" w:hAnsi="仿宋_GB2312" w:cs="仿宋_GB2312" w:eastAsia="仿宋_GB2312"/>
        </w:rPr>
        <w:t>负责解释。除上述磋商文件内容，其他内容由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西安市长安区民政局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按竞争性磋商文件、响应文件及合同要求。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联系人：杨艳艳</w:t>
      </w:r>
    </w:p>
    <w:p>
      <w:pPr>
        <w:pStyle w:val="null3"/>
      </w:pPr>
      <w:r>
        <w:rPr>
          <w:rFonts w:ascii="仿宋_GB2312" w:hAnsi="仿宋_GB2312" w:cs="仿宋_GB2312" w:eastAsia="仿宋_GB2312"/>
        </w:rPr>
        <w:t>联系电话：18161933378</w:t>
      </w:r>
    </w:p>
    <w:p>
      <w:pPr>
        <w:pStyle w:val="null3"/>
      </w:pPr>
      <w:r>
        <w:rPr>
          <w:rFonts w:ascii="仿宋_GB2312" w:hAnsi="仿宋_GB2312" w:cs="仿宋_GB2312" w:eastAsia="仿宋_GB2312"/>
        </w:rPr>
        <w:t>地址：陕西省西安市曲江新区雁翔路旺座曲江E座29层2901号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对长安区有个人清洁需求的267户和有康复理疗需求的137户特困人员开展个人清洁和康复理疗服务；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438,000.00</w:t>
      </w:r>
    </w:p>
    <w:p>
      <w:pPr>
        <w:pStyle w:val="null3"/>
      </w:pPr>
      <w:r>
        <w:rPr>
          <w:rFonts w:ascii="仿宋_GB2312" w:hAnsi="仿宋_GB2312" w:cs="仿宋_GB2312" w:eastAsia="仿宋_GB2312"/>
        </w:rPr>
        <w:t>采购包最高限价（元）: 438,000.00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长安区特困人员个人清洁和康复理疗服务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438,000.00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标的名称：长安区特困人员个人清洁和康复理疗服务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1、采购内容：对长安区有个人清洁需求的267户和有康复理疗需求的137户特困人员开展个人清洁和康复理疗服务；</w:t>
            </w:r>
          </w:p>
          <w:p>
            <w:pPr>
              <w:pStyle w:val="null3"/>
            </w:pPr>
            <w:r>
              <w:rPr>
                <w:rFonts w:ascii="仿宋_GB2312" w:hAnsi="仿宋_GB2312" w:cs="仿宋_GB2312" w:eastAsia="仿宋_GB2312"/>
              </w:rPr>
              <w:t>2、主要功能或目标：每月对长安区有个人清洁需求的267户和有康复理疗需求的137户特困人员开展个人清洁和康复理疗服务；个人清洁每月服务时长每人不低于两小时，康复理疗每月服务时长每人不低于一小时。个人清洁包含洗头、理发、剃须、剪指甲、助餐、助洁；康复理疗包含肢体康复、精神慰藉、语言障碍康复、物理疗法、运动疗法、肌肉训练、平衡与协调训练、步行训练。</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供应商应配置足够数量、专业的、经验丰富的技术人员完成项目履约。</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有符合完成本项目服务内容的设备设施。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自签订之日起12个月。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符合采购人要求及磋商文件要求。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每三个月提供服务人数，时长资料</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每三个月提供服务人数，时长资料</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每三个月提供服务人数，时长资料</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每三个月提供服务人数，时长资料</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成交供应商在领取成交通知书前，需向采购代理机构提交加盖公章的纸质版响应文件三套，成交供应商应保持投标文件纸质版内容与系统上传内容完全一致，否则将承担一切法律责任。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经审计的财务会计报告，或其磋商前三个月内基本存款账户开户银行出具的资信证明及基本存款账户开户证明，或财政部门认可的政府采购专业担保机构出具的磋商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本采购包非专门面向中小企业采购</w:t>
            </w:r>
          </w:p>
        </w:tc>
        <w:tc>
          <w:tcPr>
            <w:tcW w:type="dxa" w:w="3322"/>
          </w:tcPr>
          <w:p>
            <w:pPr>
              <w:pStyle w:val="null3"/>
            </w:pPr>
            <w:r>
              <w:rPr>
                <w:rFonts w:ascii="仿宋_GB2312" w:hAnsi="仿宋_GB2312" w:cs="仿宋_GB2312" w:eastAsia="仿宋_GB2312"/>
              </w:rPr>
              <w:t>本采购包非专门面向中小企业采购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提供合格有效的法人或者其他组织的营业执照等证明文件，自然人的身份证明；供应商是法人或其他组织的应提供营业执照等证明文件，供应商是自然人的应提供有效的自然人身份证明；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会计报告，或其磋商前三个月内基本存款账户开户银行出具的资信证明及基本存款账户开户证明，或财政部门认可的政府采购专业担保机构出具的磋商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提供开标截止日前一年内已缴纳的至少一个月的纳税证明或完税证明，依法免税的单位应提供相关证明材料；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提供开标截止日前一年内已缴存的至少一个月的社会保障资金缴存单据或社保机构开具的社会保险参保缴费情况证明，依法不需要缴纳社会保障资金的单位应提供相关证明材料；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法定代表人授权书及被授权人身份证明（附法定代表人身份证复印件）（法定代表人直接磋商只需提交其身份证明）；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注：信用查询以代理机构现场查询为准，供应商可不提供；</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供应商提供《非联合体、不分包投标声明》，供应商应提交的相关资格证明材料视为独立响应，不分包。</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响应文件按磋商文件要求签字盖章。</w:t>
            </w:r>
          </w:p>
        </w:tc>
        <w:tc>
          <w:tcPr>
            <w:tcW w:type="dxa" w:w="1661"/>
          </w:tcPr>
          <w:p>
            <w:pPr>
              <w:pStyle w:val="null3"/>
            </w:pPr>
            <w:r>
              <w:rPr>
                <w:rFonts w:ascii="仿宋_GB2312" w:hAnsi="仿宋_GB2312" w:cs="仿宋_GB2312" w:eastAsia="仿宋_GB2312"/>
              </w:rPr>
              <w:t>响应文件封面 供应商认为需要提供的其他资料.docx 中小企业声明函 残疾人福利性单位声明函 技术和商务偏离表.docx 标的清单 报价表 响应函 资格证明文件.docx 监狱企业的证明文件 响应方案.docx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无不符合法律、法规和磋商文件规定的其他无效情形。</w:t>
            </w:r>
          </w:p>
        </w:tc>
        <w:tc>
          <w:tcPr>
            <w:tcW w:type="dxa" w:w="1661"/>
          </w:tcPr>
          <w:p>
            <w:pPr>
              <w:pStyle w:val="null3"/>
            </w:pPr>
            <w:r>
              <w:rPr>
                <w:rFonts w:ascii="仿宋_GB2312" w:hAnsi="仿宋_GB2312" w:cs="仿宋_GB2312" w:eastAsia="仿宋_GB2312"/>
              </w:rPr>
              <w:t>响应文件封面 供应商认为需要提供的其他资料.docx 中小企业声明函 残疾人福利性单位声明函 技术和商务偏离表.docx 标的清单 报价表 响应函 资格证明文件.docx 监狱企业的证明文件 响应方案.docx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提供针对本项目提供服务方案。 方案合理、完整、层次清楚，完全响应 本项目服务要求得15-20 分； 方案基本合理、完整，满足磋商文件要求得 10-15（含）分； 方案一般，内容有瑕疵得 5-10（含）分； 方案内容缺失，需要优化后才能 满足项目需要得 1-5（含）分； 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服务管理制度</w:t>
            </w:r>
          </w:p>
        </w:tc>
        <w:tc>
          <w:tcPr>
            <w:tcW w:type="dxa" w:w="2492"/>
          </w:tcPr>
          <w:p>
            <w:pPr>
              <w:pStyle w:val="null3"/>
            </w:pPr>
            <w:r>
              <w:rPr>
                <w:rFonts w:ascii="仿宋_GB2312" w:hAnsi="仿宋_GB2312" w:cs="仿宋_GB2312" w:eastAsia="仿宋_GB2312"/>
              </w:rPr>
              <w:t>提供的针对本项目制定相应的服务管理制度（包括但不限于服务质量管理制度、服务反馈制度、服务考核奖惩、服务承诺制度、服务对象档案管理制度、工作人员守则等内容、信息管理制度（含信息安全、舆论处置等）。 各项管理制度科学、合理、符合实际需要，操作性强得10-15分； 各项管理制度较为科学、合理、较能符合实际需求，操作性较强得5-10 （含）分； 各项管理制度一般，基本能够满足项目需求得1-5（含）分； 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设施配备</w:t>
            </w:r>
          </w:p>
        </w:tc>
        <w:tc>
          <w:tcPr>
            <w:tcW w:type="dxa" w:w="2492"/>
          </w:tcPr>
          <w:p>
            <w:pPr>
              <w:pStyle w:val="null3"/>
            </w:pPr>
            <w:r>
              <w:rPr>
                <w:rFonts w:ascii="仿宋_GB2312" w:hAnsi="仿宋_GB2312" w:cs="仿宋_GB2312" w:eastAsia="仿宋_GB2312"/>
              </w:rPr>
              <w:t>根提供的设施配备（包括但不限于设施配备构成及合理性安排、实际作用）。 项目设施配备齐全、合理、满足日常需要，对康复有针对性作用的得10-15分； 项目设施配备基本满足项目日常需要的得5-10（含）分； 配置设备不齐全、性能较差，技术落后，无法满足本项目实际需求得1-5（含）分； 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项目团队人员配备</w:t>
            </w:r>
          </w:p>
        </w:tc>
        <w:tc>
          <w:tcPr>
            <w:tcW w:type="dxa" w:w="2492"/>
          </w:tcPr>
          <w:p>
            <w:pPr>
              <w:pStyle w:val="null3"/>
            </w:pPr>
            <w:r>
              <w:rPr>
                <w:rFonts w:ascii="仿宋_GB2312" w:hAnsi="仿宋_GB2312" w:cs="仿宋_GB2312" w:eastAsia="仿宋_GB2312"/>
              </w:rPr>
              <w:t>提供的专职工作人员应符合本项目采购需求。 人员架构科学、分工合理、职责明确、经验丰富，提供的证书（人员简历、身份证学历证、劳动合同、社保证明）等证明材料完整，得10-15分； 人员架构简单、分工较为合理、明确，基本满足项目需求得5-10（含）分； 职责不明确、提供材料不全，得0-5（含）分。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人员培训方案</w:t>
            </w:r>
          </w:p>
        </w:tc>
        <w:tc>
          <w:tcPr>
            <w:tcW w:type="dxa" w:w="2492"/>
          </w:tcPr>
          <w:p>
            <w:pPr>
              <w:pStyle w:val="null3"/>
            </w:pPr>
            <w:r>
              <w:rPr>
                <w:rFonts w:ascii="仿宋_GB2312" w:hAnsi="仿宋_GB2312" w:cs="仿宋_GB2312" w:eastAsia="仿宋_GB2312"/>
              </w:rPr>
              <w:t>根据本项目的提供人员培训方案。 方案健全、描述清晰，能够切实保障服务质量的得 3-5 分； 方案较完整、描述基本清楚，基本能够保障服务质量的得 2-3 （含）分； 方案合理性、可行性较差得1-2（含）分；未提供不得分。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风险预案</w:t>
            </w:r>
          </w:p>
        </w:tc>
        <w:tc>
          <w:tcPr>
            <w:tcW w:type="dxa" w:w="2492"/>
          </w:tcPr>
          <w:p>
            <w:pPr>
              <w:pStyle w:val="null3"/>
            </w:pPr>
            <w:r>
              <w:rPr>
                <w:rFonts w:ascii="仿宋_GB2312" w:hAnsi="仿宋_GB2312" w:cs="仿宋_GB2312" w:eastAsia="仿宋_GB2312"/>
              </w:rPr>
              <w:t>针对本项目中可能遇到的风险有全面预测，并有合理可行、针对性的风险应对方案。 处理方案响应速度快、实施效率高得3-5分； 对项目实施过程中可能遇到的风险有合理预测，且提供较为合理可行的风险应对方案得 2-3 （含）分； 对项目实施过程中可能遇到的风险有一定程度了解，风险应对方案可行性欠缺得1-2（含）分；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针对本项目提出合理化建议，符合本项目实际情况。建议合理，针对性强，可实施度高，满足本项目实际需求得3-5分； 建议较为合理，针对性较强，可实施度一般，基本满足本项目实际需求得 2-3（含） 分； 建议不合理，不具有针对性，可实施较差，不满足本项目实际需求得1-2（含）分；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有利于本项目并切实可行的服务承诺及服务保证措施，承诺事项具体、可行、可操作性强得2-4分； 服务的承诺事项简单空泛得0-2（含）分。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自2022年1月1日以来（以合同签订时间为准），投标人承担过类似项目业绩的，每提供一个项目得2分，最高得6分。 注：须提供项目清晰的合同扫描件，否则不得分。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采用低价优先法计算，即满足磋商文件要求且最终报价最低的价格为磋商基准价，其价格分为满分。其他投标人的价格分统一按照下列公式计算： 磋商报价得分=（磋商基准价/最终磋商报价）×10超出预算的磋商报价在评审过程中按无效投标处理。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分项报价表.docx 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详见附件：技术和商务偏离表.docx</w:t>
      </w:r>
    </w:p>
    <w:p>
      <w:pPr>
        <w:pStyle w:val="null3"/>
        <w:ind w:firstLine="960"/>
      </w:pPr>
      <w:r>
        <w:rPr>
          <w:rFonts w:ascii="仿宋_GB2312" w:hAnsi="仿宋_GB2312" w:cs="仿宋_GB2312" w:eastAsia="仿宋_GB2312"/>
        </w:rPr>
        <w:t>详见附件：响应方案.docx</w:t>
      </w:r>
    </w:p>
    <w:p>
      <w:pPr>
        <w:pStyle w:val="null3"/>
        <w:ind w:firstLine="960"/>
      </w:pPr>
      <w:r>
        <w:rPr>
          <w:rFonts w:ascii="仿宋_GB2312" w:hAnsi="仿宋_GB2312" w:cs="仿宋_GB2312" w:eastAsia="仿宋_GB2312"/>
        </w:rPr>
        <w:t>详见附件：供应商认为需要提供的其他资料.docx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详见附件：合同(特困人员个人清洁和康复理疗服务）.docx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