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73796">
      <w:pPr>
        <w:jc w:val="center"/>
        <w:rPr>
          <w:rFonts w:ascii="宋体" w:hAnsi="宋体"/>
          <w:b/>
          <w:sz w:val="44"/>
          <w:szCs w:val="44"/>
        </w:rPr>
      </w:pPr>
      <w:r>
        <w:rPr>
          <w:rFonts w:hint="eastAsia" w:ascii="宋体" w:hAnsi="宋体"/>
          <w:b/>
          <w:sz w:val="44"/>
          <w:szCs w:val="44"/>
        </w:rPr>
        <w:t>拟签订的合同文本</w:t>
      </w:r>
    </w:p>
    <w:p w14:paraId="646FB6B0">
      <w:pPr>
        <w:spacing w:line="240" w:lineRule="auto"/>
        <w:ind w:firstLine="560" w:firstLineChars="200"/>
        <w:rPr>
          <w:rFonts w:hint="eastAsia" w:ascii="宋体" w:hAnsi="宋体" w:eastAsia="宋体" w:cs="宋体"/>
          <w:sz w:val="28"/>
          <w:szCs w:val="28"/>
          <w:u w:val="single"/>
          <w:lang w:val="en-US" w:eastAsia="zh-CN"/>
        </w:rPr>
      </w:pPr>
      <w:r>
        <w:rPr>
          <w:rFonts w:hint="eastAsia" w:ascii="宋体" w:hAnsi="宋体" w:eastAsia="宋体" w:cs="宋体"/>
          <w:sz w:val="28"/>
          <w:szCs w:val="28"/>
        </w:rPr>
        <w:t>甲  方：</w:t>
      </w:r>
      <w:r>
        <w:rPr>
          <w:rFonts w:hint="eastAsia" w:ascii="宋体" w:hAnsi="宋体" w:eastAsia="宋体" w:cs="宋体"/>
          <w:sz w:val="28"/>
          <w:szCs w:val="28"/>
          <w:u w:val="single"/>
          <w:lang w:val="en-US" w:eastAsia="zh-CN"/>
        </w:rPr>
        <w:t xml:space="preserve">                 </w:t>
      </w:r>
    </w:p>
    <w:p w14:paraId="49FA0ADA">
      <w:pPr>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乙  方：</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 xml:space="preserve">                       </w:t>
      </w:r>
    </w:p>
    <w:p w14:paraId="09074063">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根据《中华人民共和国政府采购法》及实施条例、《中华人民共和国民法典》和甲方采购项目</w:t>
      </w:r>
      <w:r>
        <w:rPr>
          <w:rFonts w:hint="eastAsia" w:ascii="宋体" w:hAnsi="宋体" w:eastAsia="宋体" w:cs="宋体"/>
          <w:sz w:val="28"/>
          <w:szCs w:val="28"/>
          <w:u w:val="single"/>
          <w:lang w:val="en-US" w:eastAsia="zh-CN"/>
        </w:rPr>
        <w:t xml:space="preserve">       </w:t>
      </w:r>
      <w:r>
        <w:rPr>
          <w:rFonts w:hint="eastAsia" w:ascii="宋体" w:hAnsi="宋体" w:eastAsia="宋体" w:cs="宋体"/>
          <w:bCs/>
          <w:sz w:val="28"/>
          <w:szCs w:val="28"/>
        </w:rPr>
        <w:t>（采购项目编号：</w:t>
      </w:r>
      <w:r>
        <w:rPr>
          <w:rFonts w:hint="eastAsia" w:ascii="宋体" w:hAnsi="宋体" w:eastAsia="宋体" w:cs="宋体"/>
          <w:sz w:val="28"/>
          <w:szCs w:val="28"/>
          <w:u w:val="single"/>
          <w:lang w:val="en-US" w:eastAsia="zh-CN"/>
        </w:rPr>
        <w:t xml:space="preserve">        </w:t>
      </w:r>
      <w:r>
        <w:rPr>
          <w:rFonts w:hint="eastAsia" w:ascii="宋体" w:hAnsi="宋体" w:eastAsia="宋体" w:cs="宋体"/>
          <w:bCs/>
          <w:sz w:val="28"/>
          <w:szCs w:val="28"/>
        </w:rPr>
        <w:t>）的招标文件、投标文件等有关规定，为确保甲方采购项目的顺利实施，甲、乙双方在平等自愿原则下签订本合同，并共同遵守如下条款：</w:t>
      </w:r>
    </w:p>
    <w:p w14:paraId="73BB27D4">
      <w:pPr>
        <w:numPr>
          <w:ilvl w:val="0"/>
          <w:numId w:val="0"/>
        </w:numPr>
        <w:tabs>
          <w:tab w:val="left" w:pos="480"/>
        </w:tabs>
        <w:spacing w:line="240" w:lineRule="auto"/>
        <w:ind w:left="1142" w:leftChars="0" w:hanging="720" w:firstLineChars="0"/>
        <w:rPr>
          <w:rFonts w:hint="eastAsia" w:ascii="宋体" w:hAnsi="宋体" w:eastAsia="宋体" w:cs="宋体"/>
          <w:b/>
          <w:sz w:val="28"/>
          <w:szCs w:val="28"/>
        </w:rPr>
      </w:pPr>
      <w:r>
        <w:rPr>
          <w:rFonts w:hint="eastAsia" w:ascii="宋体" w:hAnsi="宋体" w:eastAsia="宋体" w:cs="宋体"/>
          <w:b/>
          <w:sz w:val="28"/>
          <w:szCs w:val="28"/>
          <w:lang w:val="en-US" w:eastAsia="zh-CN" w:bidi="ar-SA"/>
        </w:rPr>
        <w:t>一、</w:t>
      </w:r>
      <w:r>
        <w:rPr>
          <w:rFonts w:hint="eastAsia" w:ascii="宋体" w:hAnsi="宋体" w:eastAsia="宋体" w:cs="宋体"/>
          <w:b/>
          <w:sz w:val="28"/>
          <w:szCs w:val="28"/>
        </w:rPr>
        <w:t>合同标的物内容及数量</w:t>
      </w:r>
    </w:p>
    <w:tbl>
      <w:tblPr>
        <w:tblStyle w:val="3"/>
        <w:tblW w:w="49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6"/>
        <w:gridCol w:w="1143"/>
        <w:gridCol w:w="1028"/>
        <w:gridCol w:w="618"/>
        <w:gridCol w:w="1011"/>
        <w:gridCol w:w="618"/>
        <w:gridCol w:w="759"/>
        <w:gridCol w:w="936"/>
        <w:gridCol w:w="1162"/>
        <w:gridCol w:w="641"/>
      </w:tblGrid>
      <w:tr w14:paraId="7539D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48" w:type="pct"/>
            <w:tcBorders>
              <w:top w:val="single" w:color="auto" w:sz="4" w:space="0"/>
              <w:left w:val="single" w:color="auto" w:sz="4" w:space="0"/>
              <w:bottom w:val="single" w:color="auto" w:sz="4" w:space="0"/>
              <w:right w:val="single" w:color="auto" w:sz="4" w:space="0"/>
            </w:tcBorders>
            <w:noWrap w:val="0"/>
            <w:vAlign w:val="center"/>
          </w:tcPr>
          <w:p w14:paraId="08F19C2F">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676" w:type="pct"/>
            <w:tcBorders>
              <w:top w:val="single" w:color="auto" w:sz="4" w:space="0"/>
              <w:left w:val="single" w:color="auto" w:sz="4" w:space="0"/>
              <w:bottom w:val="single" w:color="auto" w:sz="4" w:space="0"/>
              <w:right w:val="single" w:color="auto" w:sz="4" w:space="0"/>
            </w:tcBorders>
            <w:noWrap w:val="0"/>
            <w:vAlign w:val="center"/>
          </w:tcPr>
          <w:p w14:paraId="167DA8E5">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名称</w:t>
            </w:r>
          </w:p>
        </w:tc>
        <w:tc>
          <w:tcPr>
            <w:tcW w:w="608" w:type="pct"/>
            <w:tcBorders>
              <w:top w:val="single" w:color="auto" w:sz="4" w:space="0"/>
              <w:left w:val="single" w:color="auto" w:sz="4" w:space="0"/>
              <w:bottom w:val="single" w:color="auto" w:sz="4" w:space="0"/>
              <w:right w:val="single" w:color="auto" w:sz="4" w:space="0"/>
            </w:tcBorders>
            <w:noWrap w:val="0"/>
            <w:vAlign w:val="center"/>
          </w:tcPr>
          <w:p w14:paraId="2349E79E">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367" w:type="pct"/>
            <w:tcBorders>
              <w:top w:val="single" w:color="auto" w:sz="4" w:space="0"/>
              <w:left w:val="single" w:color="auto" w:sz="4" w:space="0"/>
              <w:bottom w:val="single" w:color="auto" w:sz="4" w:space="0"/>
              <w:right w:val="single" w:color="auto" w:sz="4" w:space="0"/>
            </w:tcBorders>
            <w:noWrap w:val="0"/>
            <w:vAlign w:val="center"/>
          </w:tcPr>
          <w:p w14:paraId="45F4AB23">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产地</w:t>
            </w:r>
          </w:p>
        </w:tc>
        <w:tc>
          <w:tcPr>
            <w:tcW w:w="598" w:type="pct"/>
            <w:tcBorders>
              <w:top w:val="single" w:color="auto" w:sz="4" w:space="0"/>
              <w:left w:val="single" w:color="auto" w:sz="4" w:space="0"/>
              <w:bottom w:val="single" w:color="auto" w:sz="4" w:space="0"/>
              <w:right w:val="single" w:color="auto" w:sz="4" w:space="0"/>
            </w:tcBorders>
            <w:noWrap w:val="0"/>
            <w:vAlign w:val="center"/>
          </w:tcPr>
          <w:p w14:paraId="33E03384">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生产厂家</w:t>
            </w:r>
          </w:p>
        </w:tc>
        <w:tc>
          <w:tcPr>
            <w:tcW w:w="367" w:type="pct"/>
            <w:tcBorders>
              <w:top w:val="single" w:color="auto" w:sz="4" w:space="0"/>
              <w:left w:val="single" w:color="auto" w:sz="4" w:space="0"/>
              <w:bottom w:val="single" w:color="auto" w:sz="4" w:space="0"/>
              <w:right w:val="single" w:color="auto" w:sz="4" w:space="0"/>
            </w:tcBorders>
            <w:noWrap w:val="0"/>
            <w:vAlign w:val="center"/>
          </w:tcPr>
          <w:p w14:paraId="3B4304C5">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450" w:type="pct"/>
            <w:tcBorders>
              <w:top w:val="single" w:color="auto" w:sz="4" w:space="0"/>
              <w:left w:val="single" w:color="auto" w:sz="4" w:space="0"/>
              <w:bottom w:val="single" w:color="auto" w:sz="4" w:space="0"/>
              <w:right w:val="single" w:color="auto" w:sz="4" w:space="0"/>
            </w:tcBorders>
            <w:noWrap w:val="0"/>
            <w:vAlign w:val="center"/>
          </w:tcPr>
          <w:p w14:paraId="7A5FC718">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519" w:type="pct"/>
            <w:tcBorders>
              <w:top w:val="single" w:color="auto" w:sz="4" w:space="0"/>
              <w:left w:val="single" w:color="auto" w:sz="4" w:space="0"/>
              <w:bottom w:val="single" w:color="auto" w:sz="4" w:space="0"/>
              <w:right w:val="single" w:color="auto" w:sz="4" w:space="0"/>
            </w:tcBorders>
            <w:noWrap w:val="0"/>
            <w:vAlign w:val="center"/>
          </w:tcPr>
          <w:p w14:paraId="1AA43DAE">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687" w:type="pct"/>
            <w:tcBorders>
              <w:top w:val="single" w:color="auto" w:sz="4" w:space="0"/>
              <w:left w:val="single" w:color="auto" w:sz="4" w:space="0"/>
              <w:bottom w:val="single" w:color="auto" w:sz="4" w:space="0"/>
              <w:right w:val="single" w:color="auto" w:sz="4" w:space="0"/>
            </w:tcBorders>
            <w:noWrap w:val="0"/>
            <w:vAlign w:val="center"/>
          </w:tcPr>
          <w:p w14:paraId="3B0D9471">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总价（元）</w:t>
            </w:r>
          </w:p>
        </w:tc>
        <w:tc>
          <w:tcPr>
            <w:tcW w:w="374" w:type="pct"/>
            <w:tcBorders>
              <w:top w:val="single" w:color="auto" w:sz="4" w:space="0"/>
              <w:left w:val="single" w:color="auto" w:sz="4" w:space="0"/>
              <w:bottom w:val="single" w:color="auto" w:sz="4" w:space="0"/>
              <w:right w:val="single" w:color="auto" w:sz="4" w:space="0"/>
            </w:tcBorders>
            <w:noWrap w:val="0"/>
            <w:vAlign w:val="center"/>
          </w:tcPr>
          <w:p w14:paraId="060761C8">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备注</w:t>
            </w:r>
          </w:p>
        </w:tc>
      </w:tr>
      <w:tr w14:paraId="36CD9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48" w:type="pct"/>
            <w:tcBorders>
              <w:top w:val="single" w:color="auto" w:sz="4" w:space="0"/>
              <w:left w:val="single" w:color="auto" w:sz="4" w:space="0"/>
              <w:bottom w:val="single" w:color="auto" w:sz="4" w:space="0"/>
              <w:right w:val="single" w:color="auto" w:sz="4" w:space="0"/>
            </w:tcBorders>
            <w:noWrap w:val="0"/>
            <w:vAlign w:val="center"/>
          </w:tcPr>
          <w:p w14:paraId="35957428">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676" w:type="pct"/>
            <w:tcBorders>
              <w:top w:val="single" w:color="auto" w:sz="4" w:space="0"/>
              <w:left w:val="single" w:color="auto" w:sz="4" w:space="0"/>
              <w:bottom w:val="single" w:color="auto" w:sz="4" w:space="0"/>
              <w:right w:val="single" w:color="auto" w:sz="4" w:space="0"/>
            </w:tcBorders>
            <w:noWrap w:val="0"/>
            <w:vAlign w:val="center"/>
          </w:tcPr>
          <w:p w14:paraId="51F903EE">
            <w:pPr>
              <w:tabs>
                <w:tab w:val="left" w:pos="480"/>
              </w:tabs>
              <w:spacing w:line="240" w:lineRule="auto"/>
              <w:jc w:val="center"/>
              <w:rPr>
                <w:rFonts w:hint="eastAsia" w:ascii="宋体" w:hAnsi="宋体" w:eastAsia="宋体" w:cs="宋体"/>
                <w:sz w:val="24"/>
                <w:szCs w:val="24"/>
              </w:rPr>
            </w:pPr>
          </w:p>
        </w:tc>
        <w:tc>
          <w:tcPr>
            <w:tcW w:w="608" w:type="pct"/>
            <w:tcBorders>
              <w:top w:val="single" w:color="auto" w:sz="4" w:space="0"/>
              <w:left w:val="single" w:color="auto" w:sz="4" w:space="0"/>
              <w:bottom w:val="single" w:color="auto" w:sz="4" w:space="0"/>
              <w:right w:val="single" w:color="auto" w:sz="4" w:space="0"/>
            </w:tcBorders>
            <w:noWrap w:val="0"/>
            <w:vAlign w:val="center"/>
          </w:tcPr>
          <w:p w14:paraId="4324FA63">
            <w:pPr>
              <w:tabs>
                <w:tab w:val="left" w:pos="480"/>
              </w:tabs>
              <w:spacing w:line="240" w:lineRule="auto"/>
              <w:jc w:val="center"/>
              <w:rPr>
                <w:rFonts w:hint="eastAsia" w:ascii="宋体" w:hAnsi="宋体" w:eastAsia="宋体" w:cs="宋体"/>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1E194F67">
            <w:pPr>
              <w:tabs>
                <w:tab w:val="left" w:pos="480"/>
              </w:tabs>
              <w:spacing w:line="240" w:lineRule="auto"/>
              <w:jc w:val="center"/>
              <w:rPr>
                <w:rFonts w:hint="eastAsia" w:ascii="宋体" w:hAnsi="宋体" w:eastAsia="宋体" w:cs="宋体"/>
                <w:sz w:val="24"/>
                <w:szCs w:val="24"/>
              </w:rPr>
            </w:pPr>
          </w:p>
        </w:tc>
        <w:tc>
          <w:tcPr>
            <w:tcW w:w="598" w:type="pct"/>
            <w:tcBorders>
              <w:top w:val="single" w:color="auto" w:sz="4" w:space="0"/>
              <w:left w:val="single" w:color="auto" w:sz="4" w:space="0"/>
              <w:bottom w:val="single" w:color="auto" w:sz="4" w:space="0"/>
              <w:right w:val="single" w:color="auto" w:sz="4" w:space="0"/>
            </w:tcBorders>
            <w:noWrap w:val="0"/>
            <w:vAlign w:val="center"/>
          </w:tcPr>
          <w:p w14:paraId="5B2EF1FF">
            <w:pPr>
              <w:tabs>
                <w:tab w:val="left" w:pos="480"/>
              </w:tabs>
              <w:spacing w:line="240" w:lineRule="auto"/>
              <w:jc w:val="center"/>
              <w:rPr>
                <w:rFonts w:hint="eastAsia" w:ascii="宋体" w:hAnsi="宋体" w:eastAsia="宋体" w:cs="宋体"/>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2A0BCC75">
            <w:pPr>
              <w:tabs>
                <w:tab w:val="left" w:pos="480"/>
              </w:tabs>
              <w:spacing w:line="240" w:lineRule="auto"/>
              <w:jc w:val="center"/>
              <w:rPr>
                <w:rFonts w:hint="eastAsia" w:ascii="宋体" w:hAnsi="宋体" w:eastAsia="宋体" w:cs="宋体"/>
                <w:sz w:val="24"/>
                <w:szCs w:val="24"/>
              </w:rPr>
            </w:pPr>
          </w:p>
        </w:tc>
        <w:tc>
          <w:tcPr>
            <w:tcW w:w="450" w:type="pct"/>
            <w:tcBorders>
              <w:top w:val="single" w:color="auto" w:sz="4" w:space="0"/>
              <w:left w:val="single" w:color="auto" w:sz="4" w:space="0"/>
              <w:bottom w:val="single" w:color="auto" w:sz="4" w:space="0"/>
              <w:right w:val="single" w:color="auto" w:sz="4" w:space="0"/>
            </w:tcBorders>
            <w:noWrap w:val="0"/>
            <w:vAlign w:val="center"/>
          </w:tcPr>
          <w:p w14:paraId="1190F9F1">
            <w:pPr>
              <w:tabs>
                <w:tab w:val="left" w:pos="480"/>
              </w:tabs>
              <w:spacing w:line="240" w:lineRule="auto"/>
              <w:jc w:val="center"/>
              <w:rPr>
                <w:rFonts w:hint="eastAsia" w:ascii="宋体" w:hAnsi="宋体" w:eastAsia="宋体" w:cs="宋体"/>
                <w:sz w:val="24"/>
                <w:szCs w:val="24"/>
              </w:rPr>
            </w:pPr>
          </w:p>
        </w:tc>
        <w:tc>
          <w:tcPr>
            <w:tcW w:w="519" w:type="pct"/>
            <w:tcBorders>
              <w:top w:val="single" w:color="auto" w:sz="4" w:space="0"/>
              <w:left w:val="single" w:color="auto" w:sz="4" w:space="0"/>
              <w:bottom w:val="single" w:color="auto" w:sz="4" w:space="0"/>
              <w:right w:val="single" w:color="auto" w:sz="4" w:space="0"/>
            </w:tcBorders>
            <w:noWrap w:val="0"/>
            <w:vAlign w:val="center"/>
          </w:tcPr>
          <w:p w14:paraId="54CE04C9">
            <w:pPr>
              <w:tabs>
                <w:tab w:val="left" w:pos="480"/>
              </w:tabs>
              <w:spacing w:line="240" w:lineRule="auto"/>
              <w:jc w:val="center"/>
              <w:rPr>
                <w:rFonts w:hint="eastAsia" w:ascii="宋体" w:hAnsi="宋体" w:eastAsia="宋体" w:cs="宋体"/>
                <w:sz w:val="24"/>
                <w:szCs w:val="24"/>
              </w:rPr>
            </w:pPr>
          </w:p>
        </w:tc>
        <w:tc>
          <w:tcPr>
            <w:tcW w:w="687" w:type="pct"/>
            <w:tcBorders>
              <w:top w:val="single" w:color="auto" w:sz="4" w:space="0"/>
              <w:left w:val="single" w:color="auto" w:sz="4" w:space="0"/>
              <w:bottom w:val="single" w:color="auto" w:sz="4" w:space="0"/>
              <w:right w:val="single" w:color="auto" w:sz="4" w:space="0"/>
            </w:tcBorders>
            <w:noWrap w:val="0"/>
            <w:vAlign w:val="center"/>
          </w:tcPr>
          <w:p w14:paraId="353F254A">
            <w:pPr>
              <w:tabs>
                <w:tab w:val="left" w:pos="480"/>
              </w:tabs>
              <w:spacing w:line="240" w:lineRule="auto"/>
              <w:jc w:val="center"/>
              <w:rPr>
                <w:rFonts w:hint="eastAsia" w:ascii="宋体" w:hAnsi="宋体" w:eastAsia="宋体" w:cs="宋体"/>
                <w:sz w:val="24"/>
                <w:szCs w:val="24"/>
              </w:rPr>
            </w:pPr>
          </w:p>
        </w:tc>
        <w:tc>
          <w:tcPr>
            <w:tcW w:w="374" w:type="pct"/>
            <w:tcBorders>
              <w:top w:val="single" w:color="auto" w:sz="4" w:space="0"/>
              <w:left w:val="single" w:color="auto" w:sz="4" w:space="0"/>
              <w:bottom w:val="single" w:color="auto" w:sz="4" w:space="0"/>
              <w:right w:val="single" w:color="auto" w:sz="4" w:space="0"/>
            </w:tcBorders>
            <w:noWrap w:val="0"/>
            <w:vAlign w:val="center"/>
          </w:tcPr>
          <w:p w14:paraId="119DA667">
            <w:pPr>
              <w:tabs>
                <w:tab w:val="left" w:pos="480"/>
              </w:tabs>
              <w:spacing w:line="240" w:lineRule="auto"/>
              <w:jc w:val="center"/>
              <w:rPr>
                <w:rFonts w:hint="eastAsia" w:ascii="宋体" w:hAnsi="宋体" w:eastAsia="宋体" w:cs="宋体"/>
                <w:sz w:val="24"/>
                <w:szCs w:val="24"/>
              </w:rPr>
            </w:pPr>
          </w:p>
        </w:tc>
      </w:tr>
      <w:tr w14:paraId="63821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48" w:type="pct"/>
            <w:tcBorders>
              <w:top w:val="single" w:color="auto" w:sz="4" w:space="0"/>
              <w:left w:val="single" w:color="auto" w:sz="4" w:space="0"/>
              <w:bottom w:val="single" w:color="auto" w:sz="4" w:space="0"/>
              <w:right w:val="single" w:color="auto" w:sz="4" w:space="0"/>
            </w:tcBorders>
            <w:noWrap w:val="0"/>
            <w:vAlign w:val="center"/>
          </w:tcPr>
          <w:p w14:paraId="026A6D40">
            <w:pPr>
              <w:tabs>
                <w:tab w:val="left" w:pos="480"/>
              </w:tabs>
              <w:spacing w:line="24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676" w:type="pct"/>
            <w:tcBorders>
              <w:top w:val="single" w:color="auto" w:sz="4" w:space="0"/>
              <w:left w:val="single" w:color="auto" w:sz="4" w:space="0"/>
              <w:bottom w:val="single" w:color="auto" w:sz="4" w:space="0"/>
              <w:right w:val="single" w:color="auto" w:sz="4" w:space="0"/>
            </w:tcBorders>
            <w:noWrap w:val="0"/>
            <w:vAlign w:val="center"/>
          </w:tcPr>
          <w:p w14:paraId="128FAC35">
            <w:pPr>
              <w:tabs>
                <w:tab w:val="left" w:pos="480"/>
              </w:tabs>
              <w:spacing w:line="240" w:lineRule="auto"/>
              <w:jc w:val="center"/>
              <w:rPr>
                <w:rFonts w:hint="eastAsia" w:ascii="宋体" w:hAnsi="宋体" w:eastAsia="宋体" w:cs="宋体"/>
                <w:sz w:val="24"/>
                <w:szCs w:val="24"/>
              </w:rPr>
            </w:pPr>
          </w:p>
        </w:tc>
        <w:tc>
          <w:tcPr>
            <w:tcW w:w="608" w:type="pct"/>
            <w:tcBorders>
              <w:top w:val="single" w:color="auto" w:sz="4" w:space="0"/>
              <w:left w:val="single" w:color="auto" w:sz="4" w:space="0"/>
              <w:bottom w:val="single" w:color="auto" w:sz="4" w:space="0"/>
              <w:right w:val="single" w:color="auto" w:sz="4" w:space="0"/>
            </w:tcBorders>
            <w:noWrap w:val="0"/>
            <w:vAlign w:val="center"/>
          </w:tcPr>
          <w:p w14:paraId="23121D7B">
            <w:pPr>
              <w:tabs>
                <w:tab w:val="left" w:pos="480"/>
              </w:tabs>
              <w:spacing w:line="240" w:lineRule="auto"/>
              <w:jc w:val="center"/>
              <w:rPr>
                <w:rFonts w:hint="eastAsia" w:ascii="宋体" w:hAnsi="宋体" w:eastAsia="宋体" w:cs="宋体"/>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01A4350F">
            <w:pPr>
              <w:tabs>
                <w:tab w:val="left" w:pos="480"/>
              </w:tabs>
              <w:spacing w:line="240" w:lineRule="auto"/>
              <w:jc w:val="center"/>
              <w:rPr>
                <w:rFonts w:hint="eastAsia" w:ascii="宋体" w:hAnsi="宋体" w:eastAsia="宋体" w:cs="宋体"/>
                <w:sz w:val="24"/>
                <w:szCs w:val="24"/>
              </w:rPr>
            </w:pPr>
          </w:p>
        </w:tc>
        <w:tc>
          <w:tcPr>
            <w:tcW w:w="598" w:type="pct"/>
            <w:tcBorders>
              <w:top w:val="single" w:color="auto" w:sz="4" w:space="0"/>
              <w:left w:val="single" w:color="auto" w:sz="4" w:space="0"/>
              <w:bottom w:val="single" w:color="auto" w:sz="4" w:space="0"/>
              <w:right w:val="single" w:color="auto" w:sz="4" w:space="0"/>
            </w:tcBorders>
            <w:noWrap w:val="0"/>
            <w:vAlign w:val="center"/>
          </w:tcPr>
          <w:p w14:paraId="612DFF2F">
            <w:pPr>
              <w:tabs>
                <w:tab w:val="left" w:pos="480"/>
              </w:tabs>
              <w:spacing w:line="240" w:lineRule="auto"/>
              <w:jc w:val="center"/>
              <w:rPr>
                <w:rFonts w:hint="eastAsia" w:ascii="宋体" w:hAnsi="宋体" w:eastAsia="宋体" w:cs="宋体"/>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1EAD75EE">
            <w:pPr>
              <w:tabs>
                <w:tab w:val="left" w:pos="480"/>
              </w:tabs>
              <w:spacing w:line="240" w:lineRule="auto"/>
              <w:jc w:val="center"/>
              <w:rPr>
                <w:rFonts w:hint="eastAsia" w:ascii="宋体" w:hAnsi="宋体" w:eastAsia="宋体" w:cs="宋体"/>
                <w:sz w:val="24"/>
                <w:szCs w:val="24"/>
              </w:rPr>
            </w:pPr>
          </w:p>
        </w:tc>
        <w:tc>
          <w:tcPr>
            <w:tcW w:w="450" w:type="pct"/>
            <w:tcBorders>
              <w:top w:val="single" w:color="auto" w:sz="4" w:space="0"/>
              <w:left w:val="single" w:color="auto" w:sz="4" w:space="0"/>
              <w:bottom w:val="single" w:color="auto" w:sz="4" w:space="0"/>
              <w:right w:val="single" w:color="auto" w:sz="4" w:space="0"/>
            </w:tcBorders>
            <w:noWrap w:val="0"/>
            <w:vAlign w:val="center"/>
          </w:tcPr>
          <w:p w14:paraId="232EEDA8">
            <w:pPr>
              <w:tabs>
                <w:tab w:val="left" w:pos="480"/>
              </w:tabs>
              <w:spacing w:line="240" w:lineRule="auto"/>
              <w:jc w:val="center"/>
              <w:rPr>
                <w:rFonts w:hint="eastAsia" w:ascii="宋体" w:hAnsi="宋体" w:eastAsia="宋体" w:cs="宋体"/>
                <w:sz w:val="24"/>
                <w:szCs w:val="24"/>
              </w:rPr>
            </w:pPr>
          </w:p>
        </w:tc>
        <w:tc>
          <w:tcPr>
            <w:tcW w:w="519" w:type="pct"/>
            <w:tcBorders>
              <w:top w:val="single" w:color="auto" w:sz="4" w:space="0"/>
              <w:left w:val="single" w:color="auto" w:sz="4" w:space="0"/>
              <w:bottom w:val="single" w:color="auto" w:sz="4" w:space="0"/>
              <w:right w:val="single" w:color="auto" w:sz="4" w:space="0"/>
            </w:tcBorders>
            <w:noWrap w:val="0"/>
            <w:vAlign w:val="center"/>
          </w:tcPr>
          <w:p w14:paraId="70339BD8">
            <w:pPr>
              <w:tabs>
                <w:tab w:val="left" w:pos="480"/>
              </w:tabs>
              <w:spacing w:line="240" w:lineRule="auto"/>
              <w:jc w:val="center"/>
              <w:rPr>
                <w:rFonts w:hint="eastAsia" w:ascii="宋体" w:hAnsi="宋体" w:eastAsia="宋体" w:cs="宋体"/>
                <w:sz w:val="24"/>
                <w:szCs w:val="24"/>
              </w:rPr>
            </w:pPr>
          </w:p>
        </w:tc>
        <w:tc>
          <w:tcPr>
            <w:tcW w:w="687" w:type="pct"/>
            <w:tcBorders>
              <w:top w:val="single" w:color="auto" w:sz="4" w:space="0"/>
              <w:left w:val="single" w:color="auto" w:sz="4" w:space="0"/>
              <w:bottom w:val="single" w:color="auto" w:sz="4" w:space="0"/>
              <w:right w:val="single" w:color="auto" w:sz="4" w:space="0"/>
            </w:tcBorders>
            <w:noWrap w:val="0"/>
            <w:vAlign w:val="center"/>
          </w:tcPr>
          <w:p w14:paraId="0198D91C">
            <w:pPr>
              <w:tabs>
                <w:tab w:val="left" w:pos="480"/>
              </w:tabs>
              <w:spacing w:line="240" w:lineRule="auto"/>
              <w:jc w:val="center"/>
              <w:rPr>
                <w:rFonts w:hint="eastAsia" w:ascii="宋体" w:hAnsi="宋体" w:eastAsia="宋体" w:cs="宋体"/>
                <w:sz w:val="24"/>
                <w:szCs w:val="24"/>
              </w:rPr>
            </w:pPr>
          </w:p>
        </w:tc>
        <w:tc>
          <w:tcPr>
            <w:tcW w:w="374" w:type="pct"/>
            <w:tcBorders>
              <w:top w:val="single" w:color="auto" w:sz="4" w:space="0"/>
              <w:left w:val="single" w:color="auto" w:sz="4" w:space="0"/>
              <w:bottom w:val="single" w:color="auto" w:sz="4" w:space="0"/>
              <w:right w:val="single" w:color="auto" w:sz="4" w:space="0"/>
            </w:tcBorders>
            <w:noWrap w:val="0"/>
            <w:vAlign w:val="center"/>
          </w:tcPr>
          <w:p w14:paraId="5F8595DD">
            <w:pPr>
              <w:tabs>
                <w:tab w:val="left" w:pos="480"/>
              </w:tabs>
              <w:spacing w:line="240" w:lineRule="auto"/>
              <w:jc w:val="center"/>
              <w:rPr>
                <w:rFonts w:hint="eastAsia" w:ascii="宋体" w:hAnsi="宋体" w:eastAsia="宋体" w:cs="宋体"/>
                <w:sz w:val="24"/>
                <w:szCs w:val="24"/>
              </w:rPr>
            </w:pPr>
          </w:p>
        </w:tc>
      </w:tr>
      <w:tr w14:paraId="78174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noWrap w:val="0"/>
            <w:vAlign w:val="center"/>
          </w:tcPr>
          <w:p w14:paraId="56416077">
            <w:pPr>
              <w:tabs>
                <w:tab w:val="left" w:pos="480"/>
              </w:tabs>
              <w:spacing w:line="240" w:lineRule="auto"/>
              <w:jc w:val="left"/>
              <w:rPr>
                <w:rFonts w:hint="eastAsia" w:ascii="宋体" w:hAnsi="宋体" w:eastAsia="宋体" w:cs="宋体"/>
                <w:sz w:val="24"/>
                <w:szCs w:val="24"/>
              </w:rPr>
            </w:pPr>
            <w:r>
              <w:rPr>
                <w:rFonts w:hint="eastAsia" w:ascii="宋体" w:hAnsi="宋体" w:eastAsia="宋体" w:cs="宋体"/>
                <w:sz w:val="24"/>
                <w:szCs w:val="24"/>
              </w:rPr>
              <w:t>合计：</w:t>
            </w:r>
            <w:r>
              <w:rPr>
                <w:rFonts w:hint="eastAsia" w:ascii="宋体" w:hAnsi="宋体" w:eastAsia="宋体" w:cs="宋体"/>
                <w:b/>
                <w:bCs/>
                <w:sz w:val="24"/>
                <w:szCs w:val="24"/>
              </w:rPr>
              <w:t>人民币（大写）：</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元整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.00元）</w:t>
            </w:r>
          </w:p>
        </w:tc>
      </w:tr>
    </w:tbl>
    <w:p w14:paraId="5CC0217F">
      <w:pPr>
        <w:keepNext w:val="0"/>
        <w:keepLines w:val="0"/>
        <w:pageBreakBefore w:val="0"/>
        <w:widowControl/>
        <w:tabs>
          <w:tab w:val="left" w:pos="480"/>
        </w:tabs>
        <w:kinsoku/>
        <w:wordWrap/>
        <w:overflowPunct/>
        <w:topLinePunct w:val="0"/>
        <w:autoSpaceDE/>
        <w:autoSpaceDN/>
        <w:bidi w:val="0"/>
        <w:adjustRightInd/>
        <w:snapToGrid/>
        <w:spacing w:line="24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二、合同价款</w:t>
      </w:r>
    </w:p>
    <w:p w14:paraId="5D052948">
      <w:pPr>
        <w:keepNext w:val="0"/>
        <w:keepLines w:val="0"/>
        <w:pageBreakBefore w:val="0"/>
        <w:widowControl/>
        <w:tabs>
          <w:tab w:val="left" w:pos="480"/>
        </w:tabs>
        <w:kinsoku/>
        <w:wordWrap/>
        <w:overflowPunct/>
        <w:topLinePunct w:val="0"/>
        <w:autoSpaceDE/>
        <w:autoSpaceDN/>
        <w:bidi w:val="0"/>
        <w:adjustRightInd/>
        <w:snapToGrid/>
        <w:spacing w:line="24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合同总价款为人民币（大写）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元整（</w:t>
      </w:r>
      <w:r>
        <w:rPr>
          <w:rFonts w:hint="eastAsia" w:ascii="宋体" w:hAnsi="宋体" w:eastAsia="宋体" w:cs="宋体"/>
          <w:color w:val="000000"/>
          <w:sz w:val="28"/>
          <w:szCs w:val="28"/>
          <w:u w:val="single"/>
        </w:rPr>
        <w:t>¥:</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元）</w:t>
      </w:r>
      <w:r>
        <w:rPr>
          <w:rFonts w:hint="eastAsia" w:ascii="宋体" w:hAnsi="宋体" w:eastAsia="宋体" w:cs="宋体"/>
          <w:sz w:val="28"/>
          <w:szCs w:val="28"/>
        </w:rPr>
        <w:t>。</w:t>
      </w:r>
    </w:p>
    <w:p w14:paraId="6074DCB1">
      <w:pPr>
        <w:keepNext w:val="0"/>
        <w:keepLines w:val="0"/>
        <w:pageBreakBefore w:val="0"/>
        <w:widowControl/>
        <w:tabs>
          <w:tab w:val="left" w:pos="480"/>
        </w:tabs>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合同总价包括：货物费、运输费（含保险费）、装卸费、安装调试费、检测验收、税金（含关税）、培训费、技术服务及其它费用。</w:t>
      </w:r>
    </w:p>
    <w:p w14:paraId="33CDF48E">
      <w:pPr>
        <w:keepNext w:val="0"/>
        <w:keepLines w:val="0"/>
        <w:pageBreakBefore w:val="0"/>
        <w:widowControl/>
        <w:tabs>
          <w:tab w:val="left" w:pos="480"/>
        </w:tabs>
        <w:kinsoku/>
        <w:wordWrap/>
        <w:overflowPunct/>
        <w:topLinePunct w:val="0"/>
        <w:autoSpaceDE/>
        <w:autoSpaceDN/>
        <w:bidi w:val="0"/>
        <w:adjustRightInd/>
        <w:snapToGrid/>
        <w:spacing w:line="24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三、合同支付约定</w:t>
      </w:r>
    </w:p>
    <w:p w14:paraId="0D11592F">
      <w:pPr>
        <w:keepNext w:val="0"/>
        <w:keepLines w:val="0"/>
        <w:pageBreakBefore w:val="0"/>
        <w:widowControl/>
        <w:tabs>
          <w:tab w:val="left" w:pos="480"/>
        </w:tabs>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 付款条件说明：在合同签订后，待人员、设备进场施工后，预付合同价的30% ，达到付款条件起 15 日内，支付合同总金额的 30.00%。</w:t>
      </w:r>
    </w:p>
    <w:p w14:paraId="441F347D">
      <w:pPr>
        <w:keepNext w:val="0"/>
        <w:keepLines w:val="0"/>
        <w:pageBreakBefore w:val="0"/>
        <w:widowControl/>
        <w:tabs>
          <w:tab w:val="left" w:pos="480"/>
        </w:tabs>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 付款条件说明：项目实施进度达到50%后，乙方向甲方申请并经甲方审核通过后，甲方向乙方支付不超过合同价的70%  ，达到付款条件起 15 日内，支付合同总金额的 40.00%。</w:t>
      </w:r>
    </w:p>
    <w:p w14:paraId="2307E5F5">
      <w:pPr>
        <w:keepNext w:val="0"/>
        <w:keepLines w:val="0"/>
        <w:pageBreakBefore w:val="0"/>
        <w:widowControl/>
        <w:tabs>
          <w:tab w:val="left" w:pos="480"/>
        </w:tabs>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 付款条件说明：待完成承包范围内全部工作且工程结算审计完成后，支付至工程结算审计金额的90%  ，达到付款条件起 15 日内，支付合同总金额的 20.00%。</w:t>
      </w:r>
    </w:p>
    <w:p w14:paraId="6E465AE1">
      <w:pPr>
        <w:keepNext w:val="0"/>
        <w:keepLines w:val="0"/>
        <w:pageBreakBefore w:val="0"/>
        <w:widowControl/>
        <w:tabs>
          <w:tab w:val="left" w:pos="480"/>
        </w:tabs>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 付款条件说明：待工程竣工决算审计完成后，支付至工程决算审计金额的97% ，达到付款条件起 15 日内，支付合同总金额的 7.00%。</w:t>
      </w:r>
    </w:p>
    <w:p w14:paraId="4CC8D151">
      <w:pPr>
        <w:keepNext w:val="0"/>
        <w:keepLines w:val="0"/>
        <w:pageBreakBefore w:val="0"/>
        <w:widowControl/>
        <w:tabs>
          <w:tab w:val="left" w:pos="480"/>
        </w:tabs>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 付款条件说明： 预留决算审计金额的3%作为工程质量保修金，质保期满工程无质量问题后，无息退还（扣除相关应扣费用）工程质量保修金，达到付款条件起 15 日内，支付合同总金额的 3.00%。</w:t>
      </w:r>
    </w:p>
    <w:p w14:paraId="4793BFF1">
      <w:pPr>
        <w:spacing w:line="24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四、交货条件：</w:t>
      </w:r>
    </w:p>
    <w:p w14:paraId="21E33CF5">
      <w:pPr>
        <w:keepNext w:val="0"/>
        <w:keepLines w:val="0"/>
        <w:pageBreakBefore w:val="0"/>
        <w:widowControl/>
        <w:tabs>
          <w:tab w:val="left" w:pos="480"/>
        </w:tabs>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（一）交货地点：</w:t>
      </w:r>
    </w:p>
    <w:p w14:paraId="1EF1ADE8">
      <w:pPr>
        <w:keepNext w:val="0"/>
        <w:keepLines w:val="0"/>
        <w:pageBreakBefore w:val="0"/>
        <w:widowControl/>
        <w:tabs>
          <w:tab w:val="left" w:pos="480"/>
        </w:tabs>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（二）供货期限：采购人下达供货通知后60日内完成安装调试。</w:t>
      </w:r>
    </w:p>
    <w:p w14:paraId="6BD766A0">
      <w:pPr>
        <w:tabs>
          <w:tab w:val="left" w:pos="480"/>
        </w:tabs>
        <w:spacing w:line="24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五、运输</w:t>
      </w:r>
    </w:p>
    <w:p w14:paraId="62A0C605">
      <w:pPr>
        <w:tabs>
          <w:tab w:val="left" w:pos="480"/>
        </w:tabs>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（一）运输由乙方负责，运杂费已包含在合同总价内，包括从货物供应地点至交货地点所含的运输费、装卸费、仓储费、保险费等。</w:t>
      </w:r>
    </w:p>
    <w:p w14:paraId="479D0F93">
      <w:pPr>
        <w:tabs>
          <w:tab w:val="left" w:pos="480"/>
        </w:tabs>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（二）运输方式由乙方自行选择，但必须保证按期交货。</w:t>
      </w:r>
    </w:p>
    <w:p w14:paraId="13AD07DB">
      <w:pPr>
        <w:tabs>
          <w:tab w:val="left" w:pos="480"/>
        </w:tabs>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（三）因运输产生的一切风险及质量问题均由乙方承担。</w:t>
      </w:r>
    </w:p>
    <w:p w14:paraId="02D9D2ED">
      <w:pPr>
        <w:tabs>
          <w:tab w:val="left" w:pos="480"/>
        </w:tabs>
        <w:spacing w:line="24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六、质量保证</w:t>
      </w:r>
    </w:p>
    <w:p w14:paraId="3A43B2D9">
      <w:pPr>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乙方保证合同项下所供设备是合同规定厂家供货生产的，全新未使用过的，并完全符合合同规定的质量、规格等要求。提供的主机及相关配套设备必须保证质量可靠，为市场最新或主流设备，进货渠道正常，配置合理齐全，全面满足招标内容的要求，招标文件未明确要求的内容，乙方均按招标设备主流设备的标准配置配备或以甲方的补充要求为准。所供设备工艺质量应严格按国家最新发布的规范标准执行，如发生质量问题由乙方承担全部责任。</w:t>
      </w:r>
      <w:bookmarkStart w:id="0" w:name="_GoBack"/>
      <w:bookmarkEnd w:id="0"/>
    </w:p>
    <w:p w14:paraId="7CAD5127">
      <w:pPr>
        <w:spacing w:line="24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七、售后服务</w:t>
      </w:r>
    </w:p>
    <w:p w14:paraId="197FC4D6">
      <w:pPr>
        <w:spacing w:line="24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乙方为甲方所供货物须提供以下售后服务：</w:t>
      </w:r>
    </w:p>
    <w:p w14:paraId="5ACABC65">
      <w:pPr>
        <w:spacing w:line="240" w:lineRule="auto"/>
        <w:ind w:firstLine="560" w:firstLineChars="200"/>
        <w:rPr>
          <w:rFonts w:hint="eastAsia" w:ascii="宋体" w:hAnsi="宋体" w:eastAsia="宋体" w:cs="宋体"/>
          <w:b/>
          <w:color w:val="auto"/>
          <w:sz w:val="28"/>
          <w:szCs w:val="28"/>
        </w:rPr>
      </w:pPr>
      <w:r>
        <w:rPr>
          <w:rFonts w:hint="eastAsia" w:ascii="宋体" w:hAnsi="宋体" w:eastAsia="宋体" w:cs="宋体"/>
          <w:color w:val="auto"/>
          <w:sz w:val="28"/>
          <w:szCs w:val="28"/>
        </w:rPr>
        <w:t>1．自设备安装调试并正常投入使用后起,主机及相关配套设备</w:t>
      </w:r>
      <w:r>
        <w:rPr>
          <w:rFonts w:hint="eastAsia" w:ascii="宋体" w:hAnsi="宋体" w:eastAsia="宋体" w:cs="宋体"/>
          <w:b/>
          <w:bCs/>
          <w:color w:val="auto"/>
          <w:sz w:val="28"/>
          <w:szCs w:val="28"/>
          <w:highlight w:val="none"/>
          <w:u w:val="single"/>
        </w:rPr>
        <w:t>质保</w:t>
      </w:r>
      <w:r>
        <w:rPr>
          <w:rFonts w:hint="eastAsia" w:ascii="宋体" w:hAnsi="宋体" w:eastAsia="宋体" w:cs="宋体"/>
          <w:b/>
          <w:bCs/>
          <w:color w:val="auto"/>
          <w:sz w:val="28"/>
          <w:szCs w:val="28"/>
          <w:highlight w:val="none"/>
          <w:u w:val="single"/>
          <w:lang w:val="en-US" w:eastAsia="zh-CN"/>
        </w:rPr>
        <w:t>≥</w:t>
      </w:r>
      <w:r>
        <w:rPr>
          <w:rFonts w:hint="eastAsia" w:ascii="宋体" w:hAnsi="宋体" w:eastAsia="宋体" w:cs="宋体"/>
          <w:b/>
          <w:bCs/>
          <w:color w:val="auto"/>
          <w:sz w:val="28"/>
          <w:szCs w:val="28"/>
          <w:highlight w:val="none"/>
          <w:u w:val="single"/>
        </w:rPr>
        <w:t>1年</w:t>
      </w:r>
      <w:r>
        <w:rPr>
          <w:rFonts w:hint="eastAsia" w:ascii="宋体" w:hAnsi="宋体" w:eastAsia="宋体" w:cs="宋体"/>
          <w:color w:val="auto"/>
          <w:sz w:val="28"/>
          <w:szCs w:val="28"/>
        </w:rPr>
        <w:t>，并承担质保期内产生的所有维修、维护、保养等费用。</w:t>
      </w:r>
    </w:p>
    <w:p w14:paraId="78BCCC64">
      <w:pPr>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2．在质保期内系统发生故障，维修响应时间≤4小时，维修工程师抵达现场时间≤24小时，排除故障的期限≤48小时。否则甲方有权指定第三方机构维修，维修产生的全部费用由乙方承担；</w:t>
      </w:r>
    </w:p>
    <w:p w14:paraId="32F284D9">
      <w:pPr>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3．在设备最终验收后的质量保证期内，乙方对由于设计、工艺或材料的缺陷而产生的故障负责（负责解决并承担全部费用）。质保期满后如出现此类问题亦应负责。</w:t>
      </w:r>
    </w:p>
    <w:p w14:paraId="47006258">
      <w:pPr>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4．每年派技术人员到现场走访，给予检查维护；</w:t>
      </w:r>
    </w:p>
    <w:p w14:paraId="6EA6081C">
      <w:pPr>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5．质保期结束前，进行系统测试，全面保养维护，确保正常运行。</w:t>
      </w:r>
    </w:p>
    <w:p w14:paraId="4C40191B">
      <w:pPr>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6．供应商应在合同规定时间内完成仪器的安装调试，并达到标书和技术文件（仪器说明书等）要求的性能，如果现场安装测试指标未通过，购买方有权要求退货并要求赔偿损失。</w:t>
      </w:r>
    </w:p>
    <w:p w14:paraId="542B4B89">
      <w:pPr>
        <w:tabs>
          <w:tab w:val="left" w:pos="480"/>
        </w:tabs>
        <w:spacing w:line="24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八、技术与服务</w:t>
      </w:r>
    </w:p>
    <w:p w14:paraId="1F059058">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（一）技术资料：</w:t>
      </w:r>
    </w:p>
    <w:p w14:paraId="439DAD1C">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1.完整的设备操作使用手册和维护、修理技术文件，图纸、保修卡等。</w:t>
      </w:r>
    </w:p>
    <w:p w14:paraId="44E7DC06">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 xml:space="preserve">2.制造厂的检验、测试报告、设备检验合格证书，质量保证书等文件须验收时一并提供。        </w:t>
      </w:r>
    </w:p>
    <w:p w14:paraId="6F890572">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 xml:space="preserve">3.设备验收标准      </w:t>
      </w:r>
    </w:p>
    <w:p w14:paraId="4712DC9E">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 xml:space="preserve">4.技术说明书                </w:t>
      </w:r>
    </w:p>
    <w:p w14:paraId="7110C81A">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 xml:space="preserve">5.使用说明书                </w:t>
      </w:r>
    </w:p>
    <w:p w14:paraId="5F65D837">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6.系统安装，调试、维修线路图及原理图</w:t>
      </w:r>
    </w:p>
    <w:p w14:paraId="486FEBF1">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 xml:space="preserve">7.零部件目录                 </w:t>
      </w:r>
    </w:p>
    <w:p w14:paraId="4F57A186">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8.备品备件、易损件清单</w:t>
      </w:r>
    </w:p>
    <w:p w14:paraId="603DCC18">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 xml:space="preserve">9.必须的其它技术资料。      </w:t>
      </w:r>
    </w:p>
    <w:p w14:paraId="043F88F7">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10.合同中要求的其他文件资料</w:t>
      </w:r>
    </w:p>
    <w:p w14:paraId="2AA91FB9">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（二）培训要求：安装验收后，乙方需为甲方免费培训操作使用技术人员2名，提高操作培训2名，培训服务以受培训人员熟练掌握相应技能为原则。培训内容包括仪器原理，仪器操作，保养维修等技术。</w:t>
      </w:r>
    </w:p>
    <w:p w14:paraId="7FBB39E4">
      <w:pPr>
        <w:tabs>
          <w:tab w:val="left" w:pos="480"/>
        </w:tabs>
        <w:spacing w:line="24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（三）服务承诺：以投标文件、澄清表（函）、合同和随货物的相关文件为准。</w:t>
      </w:r>
    </w:p>
    <w:p w14:paraId="76AD184D">
      <w:pPr>
        <w:tabs>
          <w:tab w:val="left" w:pos="480"/>
        </w:tabs>
        <w:spacing w:line="240" w:lineRule="auto"/>
        <w:ind w:firstLine="562" w:firstLineChars="200"/>
        <w:rPr>
          <w:rFonts w:hint="eastAsia" w:ascii="宋体" w:hAnsi="宋体" w:eastAsia="宋体" w:cs="宋体"/>
          <w:b/>
          <w:color w:val="000000"/>
          <w:sz w:val="28"/>
          <w:szCs w:val="28"/>
        </w:rPr>
      </w:pPr>
      <w:r>
        <w:rPr>
          <w:rFonts w:hint="eastAsia" w:ascii="宋体" w:hAnsi="宋体" w:eastAsia="宋体" w:cs="宋体"/>
          <w:b/>
          <w:color w:val="000000"/>
          <w:sz w:val="28"/>
          <w:szCs w:val="28"/>
        </w:rPr>
        <w:t>九、验收</w:t>
      </w:r>
    </w:p>
    <w:p w14:paraId="4974E0D5">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由甲方和乙方共同对设备进行验收。其内容包括确认设备的准确产地、规格、型号和数量，对其设备技术指标、性能参数进行逐项检查。</w:t>
      </w:r>
    </w:p>
    <w:p w14:paraId="5F864E11">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1.验收设备的指标、性能参数通过验收达到合同要求，或出现甲方不能正常使用的情况，将视为设备验收不合格，乙方应免费更换或退货。</w:t>
      </w:r>
    </w:p>
    <w:p w14:paraId="3CA196E3">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2.若发现乙方有弄虚作假的，故意或随意夸大设备技术性能，甲方除要求退货外，有权要求乙方赔偿甲方相应的损失。</w:t>
      </w:r>
    </w:p>
    <w:p w14:paraId="3ED95755">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3.验收标准：系统及设备按合同文件及澄清等技术指标进行验收。设备质量、安装调试各项指标均应符合验收标准及要求。</w:t>
      </w:r>
    </w:p>
    <w:p w14:paraId="16C5403F">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4.验收合格后，填写验收单，甲方签字后生效。                </w:t>
      </w:r>
    </w:p>
    <w:p w14:paraId="692D7D24">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5.验收依据：                                                    </w:t>
      </w:r>
    </w:p>
    <w:p w14:paraId="706D5D0A">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5.1本合同文本：                                                                         </w:t>
      </w:r>
    </w:p>
    <w:p w14:paraId="7E7562AA">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5.2国家和行业制定的相应的标准和规范。                          </w:t>
      </w:r>
    </w:p>
    <w:p w14:paraId="3F42A597">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5.3设备验收清单（注明各部件的品名、数量、价格、规格型号、原产地和生产厂家）。</w:t>
      </w:r>
    </w:p>
    <w:p w14:paraId="0C90E59A">
      <w:pPr>
        <w:tabs>
          <w:tab w:val="left" w:pos="480"/>
        </w:tabs>
        <w:spacing w:line="240" w:lineRule="auto"/>
        <w:ind w:firstLine="562" w:firstLineChars="200"/>
        <w:rPr>
          <w:rFonts w:hint="eastAsia" w:ascii="宋体" w:hAnsi="宋体" w:eastAsia="宋体" w:cs="宋体"/>
          <w:b/>
          <w:color w:val="000000"/>
          <w:sz w:val="28"/>
          <w:szCs w:val="28"/>
        </w:rPr>
      </w:pPr>
      <w:r>
        <w:rPr>
          <w:rFonts w:hint="eastAsia" w:ascii="宋体" w:hAnsi="宋体" w:eastAsia="宋体" w:cs="宋体"/>
          <w:b/>
          <w:color w:val="000000"/>
          <w:sz w:val="28"/>
          <w:szCs w:val="28"/>
        </w:rPr>
        <w:t>十、违约责任</w:t>
      </w:r>
    </w:p>
    <w:p w14:paraId="758479CD">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（一）按《民法典》中的相关条款执行。</w:t>
      </w:r>
    </w:p>
    <w:p w14:paraId="78355DA1">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2205C6DE">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1.乙方赔偿甲方解除合同的全部损失（包括但不限于重新采购产生的费用、合同未履行导致设备不能按规划交付使用可能产生的租赁费用及其它由此造成的甲方对第三方的违约损失）；</w:t>
      </w:r>
    </w:p>
    <w:p w14:paraId="6C08E346">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2.乙方支付甲方违约金，违约金计算方法：以合同总价为基数，支付甲方合同总价的30%为违约金。同时对乙方的违约行为报监管机构进行相应的处罚。</w:t>
      </w:r>
    </w:p>
    <w:p w14:paraId="6AC76CD6">
      <w:pPr>
        <w:tabs>
          <w:tab w:val="left" w:pos="480"/>
        </w:tabs>
        <w:spacing w:line="240" w:lineRule="auto"/>
        <w:ind w:firstLine="562" w:firstLineChars="200"/>
        <w:rPr>
          <w:rFonts w:hint="eastAsia" w:ascii="宋体" w:hAnsi="宋体" w:eastAsia="宋体" w:cs="宋体"/>
          <w:b/>
          <w:color w:val="000000"/>
          <w:sz w:val="28"/>
          <w:szCs w:val="28"/>
        </w:rPr>
      </w:pPr>
      <w:r>
        <w:rPr>
          <w:rFonts w:hint="eastAsia" w:ascii="宋体" w:hAnsi="宋体" w:eastAsia="宋体" w:cs="宋体"/>
          <w:b/>
          <w:color w:val="000000"/>
          <w:sz w:val="28"/>
          <w:szCs w:val="28"/>
        </w:rPr>
        <w:t>十一、合同争议解决的方式</w:t>
      </w:r>
    </w:p>
    <w:p w14:paraId="1DC01F87">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本合同在履行过程中发生的争议，由甲、乙双方当事人协商解决，协商不成的依法向甲方所在地人民法院起诉。</w:t>
      </w:r>
    </w:p>
    <w:p w14:paraId="686A2E42">
      <w:pPr>
        <w:tabs>
          <w:tab w:val="left" w:pos="480"/>
        </w:tabs>
        <w:spacing w:line="240" w:lineRule="auto"/>
        <w:ind w:firstLine="562" w:firstLineChars="200"/>
        <w:rPr>
          <w:rFonts w:hint="eastAsia" w:ascii="宋体" w:hAnsi="宋体" w:eastAsia="宋体" w:cs="宋体"/>
          <w:b/>
          <w:color w:val="000000"/>
          <w:sz w:val="28"/>
          <w:szCs w:val="28"/>
        </w:rPr>
      </w:pPr>
      <w:r>
        <w:rPr>
          <w:rFonts w:hint="eastAsia" w:ascii="宋体" w:hAnsi="宋体" w:eastAsia="宋体" w:cs="宋体"/>
          <w:b/>
          <w:color w:val="000000"/>
          <w:sz w:val="28"/>
          <w:szCs w:val="28"/>
        </w:rPr>
        <w:t>十二、合同生效</w:t>
      </w:r>
    </w:p>
    <w:p w14:paraId="2B082834">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本合同一式</w:t>
      </w:r>
      <w:r>
        <w:rPr>
          <w:rFonts w:hint="eastAsia" w:ascii="宋体" w:hAnsi="宋体" w:eastAsia="宋体" w:cs="宋体"/>
          <w:b/>
          <w:bCs/>
          <w:color w:val="000000"/>
          <w:sz w:val="28"/>
          <w:szCs w:val="28"/>
          <w:u w:val="single"/>
        </w:rPr>
        <w:t>柒</w:t>
      </w:r>
      <w:r>
        <w:rPr>
          <w:rFonts w:hint="eastAsia" w:ascii="宋体" w:hAnsi="宋体" w:eastAsia="宋体" w:cs="宋体"/>
          <w:color w:val="000000"/>
          <w:sz w:val="28"/>
          <w:szCs w:val="28"/>
        </w:rPr>
        <w:t>份，甲方</w:t>
      </w:r>
      <w:r>
        <w:rPr>
          <w:rFonts w:hint="eastAsia" w:ascii="宋体" w:hAnsi="宋体" w:eastAsia="宋体" w:cs="宋体"/>
          <w:b/>
          <w:bCs/>
          <w:color w:val="000000"/>
          <w:sz w:val="28"/>
          <w:szCs w:val="28"/>
          <w:u w:val="single"/>
        </w:rPr>
        <w:t>伍</w:t>
      </w:r>
      <w:r>
        <w:rPr>
          <w:rFonts w:hint="eastAsia" w:ascii="宋体" w:hAnsi="宋体" w:eastAsia="宋体" w:cs="宋体"/>
          <w:color w:val="000000"/>
          <w:sz w:val="28"/>
          <w:szCs w:val="28"/>
        </w:rPr>
        <w:t>份，乙方</w:t>
      </w:r>
      <w:r>
        <w:rPr>
          <w:rFonts w:hint="eastAsia" w:ascii="宋体" w:hAnsi="宋体" w:eastAsia="宋体" w:cs="宋体"/>
          <w:b/>
          <w:bCs/>
          <w:color w:val="000000"/>
          <w:sz w:val="28"/>
          <w:szCs w:val="28"/>
          <w:u w:val="single"/>
        </w:rPr>
        <w:t>壹</w:t>
      </w:r>
      <w:r>
        <w:rPr>
          <w:rFonts w:hint="eastAsia" w:ascii="宋体" w:hAnsi="宋体" w:eastAsia="宋体" w:cs="宋体"/>
          <w:color w:val="000000"/>
          <w:sz w:val="28"/>
          <w:szCs w:val="28"/>
        </w:rPr>
        <w:t>份，鉴证方</w:t>
      </w:r>
      <w:r>
        <w:rPr>
          <w:rFonts w:hint="eastAsia" w:ascii="宋体" w:hAnsi="宋体" w:eastAsia="宋体" w:cs="宋体"/>
          <w:b/>
          <w:color w:val="000000"/>
          <w:sz w:val="28"/>
          <w:szCs w:val="28"/>
          <w:u w:val="single"/>
        </w:rPr>
        <w:t>壹</w:t>
      </w:r>
      <w:r>
        <w:rPr>
          <w:rFonts w:hint="eastAsia" w:ascii="宋体" w:hAnsi="宋体" w:eastAsia="宋体" w:cs="宋体"/>
          <w:color w:val="000000"/>
          <w:sz w:val="28"/>
          <w:szCs w:val="28"/>
        </w:rPr>
        <w:t>份，本合同经甲方、乙方和鉴证方签字盖章后生效，质保期结束后，自动终止（但合同的服务承诺除外）。</w:t>
      </w:r>
    </w:p>
    <w:p w14:paraId="547B8E6B">
      <w:pPr>
        <w:tabs>
          <w:tab w:val="left" w:pos="480"/>
        </w:tabs>
        <w:spacing w:line="240" w:lineRule="auto"/>
        <w:ind w:firstLine="562" w:firstLineChars="200"/>
        <w:rPr>
          <w:rFonts w:hint="eastAsia" w:ascii="宋体" w:hAnsi="宋体" w:eastAsia="宋体" w:cs="宋体"/>
          <w:b/>
          <w:color w:val="000000"/>
          <w:sz w:val="28"/>
          <w:szCs w:val="28"/>
        </w:rPr>
      </w:pPr>
      <w:r>
        <w:rPr>
          <w:rFonts w:hint="eastAsia" w:ascii="宋体" w:hAnsi="宋体" w:eastAsia="宋体" w:cs="宋体"/>
          <w:b/>
          <w:color w:val="000000"/>
          <w:sz w:val="28"/>
          <w:szCs w:val="28"/>
        </w:rPr>
        <w:t>十三、其他事项</w:t>
      </w:r>
    </w:p>
    <w:p w14:paraId="7CF303B4">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（一）西安市财政局政府采购管理处在合同的履行期间以及履行期后，可以随时检查项目的执行情况，对采购内容、标准进行调查核实，并对发现的问题进行处理。</w:t>
      </w:r>
    </w:p>
    <w:p w14:paraId="50795CB9">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（二）招标文件、投标文件、澄清表（函）、中标通知书、合同附件均成为合同不可分割的部分。</w:t>
      </w:r>
    </w:p>
    <w:p w14:paraId="2704C9EA">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（三）合同未尽事宜，由甲、乙双方协商，经见证方确认后，签订补充协议，与原合同具有同等法律效力。</w:t>
      </w:r>
    </w:p>
    <w:p w14:paraId="73D54128">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（四）合同一经签订，不得擅自变更、中止或终止合同。对确需变更、调整或中止、终止合同的，有法律规定的按照法律规定，除合同约定外，由甲乙双方再行协商，协商一致前，原合同或条款继续履行。</w:t>
      </w:r>
    </w:p>
    <w:p w14:paraId="2912060D">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（五）本合同按照中华人民共和国的现行法律进行解释。</w:t>
      </w:r>
    </w:p>
    <w:p w14:paraId="7F371999">
      <w:pPr>
        <w:tabs>
          <w:tab w:val="left" w:pos="480"/>
        </w:tabs>
        <w:spacing w:line="24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（六）本合同附件作为本合同的组成部分，与本合同具有同等法律效力。</w:t>
      </w:r>
    </w:p>
    <w:p w14:paraId="765958A2">
      <w:pPr>
        <w:tabs>
          <w:tab w:val="left" w:pos="480"/>
        </w:tabs>
        <w:spacing w:line="240" w:lineRule="auto"/>
        <w:ind w:firstLine="562" w:firstLineChars="200"/>
        <w:rPr>
          <w:rFonts w:hint="eastAsia" w:ascii="宋体" w:hAnsi="宋体" w:eastAsia="宋体" w:cs="宋体"/>
          <w:b/>
          <w:color w:val="000000"/>
          <w:sz w:val="28"/>
          <w:szCs w:val="28"/>
        </w:rPr>
      </w:pPr>
      <w:r>
        <w:rPr>
          <w:rFonts w:hint="eastAsia" w:ascii="宋体" w:hAnsi="宋体" w:eastAsia="宋体" w:cs="宋体"/>
          <w:b/>
          <w:color w:val="000000"/>
          <w:sz w:val="28"/>
          <w:szCs w:val="28"/>
        </w:rPr>
        <w:t>十四、配置清单</w:t>
      </w:r>
    </w:p>
    <w:p w14:paraId="59467855">
      <w:pPr>
        <w:spacing w:line="24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见附件</w:t>
      </w:r>
    </w:p>
    <w:p w14:paraId="0BDAC42F">
      <w:pPr>
        <w:tabs>
          <w:tab w:val="left" w:pos="480"/>
        </w:tabs>
        <w:spacing w:line="240" w:lineRule="auto"/>
        <w:rPr>
          <w:rFonts w:hint="eastAsia" w:ascii="宋体" w:hAnsi="宋体" w:eastAsia="宋体" w:cs="宋体"/>
          <w:color w:val="000000"/>
          <w:sz w:val="28"/>
          <w:szCs w:val="28"/>
        </w:rPr>
      </w:pPr>
      <w:r>
        <w:rPr>
          <w:rFonts w:hint="eastAsia" w:ascii="宋体" w:hAnsi="宋体" w:eastAsia="宋体" w:cs="宋体"/>
          <w:color w:val="000000"/>
          <w:sz w:val="28"/>
          <w:szCs w:val="28"/>
        </w:rPr>
        <w:t>（以下无正文）</w:t>
      </w:r>
    </w:p>
    <w:p w14:paraId="38E8535E">
      <w:pPr>
        <w:tabs>
          <w:tab w:val="left" w:pos="480"/>
        </w:tabs>
        <w:spacing w:line="240" w:lineRule="auto"/>
        <w:rPr>
          <w:rFonts w:hint="eastAsia" w:ascii="宋体" w:hAnsi="宋体" w:eastAsia="宋体" w:cs="宋体"/>
          <w:sz w:val="24"/>
          <w:szCs w:val="24"/>
        </w:rPr>
      </w:pPr>
    </w:p>
    <w:tbl>
      <w:tblPr>
        <w:tblStyle w:val="3"/>
        <w:tblW w:w="0" w:type="auto"/>
        <w:tblInd w:w="0" w:type="dxa"/>
        <w:tblLayout w:type="autofit"/>
        <w:tblCellMar>
          <w:top w:w="0" w:type="dxa"/>
          <w:left w:w="108" w:type="dxa"/>
          <w:bottom w:w="0" w:type="dxa"/>
          <w:right w:w="108" w:type="dxa"/>
        </w:tblCellMar>
      </w:tblPr>
      <w:tblGrid>
        <w:gridCol w:w="4262"/>
        <w:gridCol w:w="4260"/>
      </w:tblGrid>
      <w:tr w14:paraId="5D1FE1B2">
        <w:tc>
          <w:tcPr>
            <w:tcW w:w="4657" w:type="dxa"/>
            <w:noWrap w:val="0"/>
            <w:vAlign w:val="center"/>
          </w:tcPr>
          <w:p w14:paraId="5BB49868">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甲  方（法人公章）</w:t>
            </w:r>
          </w:p>
        </w:tc>
        <w:tc>
          <w:tcPr>
            <w:tcW w:w="4655" w:type="dxa"/>
            <w:noWrap w:val="0"/>
            <w:vAlign w:val="center"/>
          </w:tcPr>
          <w:p w14:paraId="7EAB4BB8">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乙  方（法人公章）</w:t>
            </w:r>
          </w:p>
        </w:tc>
      </w:tr>
      <w:tr w14:paraId="3932F742">
        <w:tblPrEx>
          <w:tblCellMar>
            <w:top w:w="0" w:type="dxa"/>
            <w:left w:w="108" w:type="dxa"/>
            <w:bottom w:w="0" w:type="dxa"/>
            <w:right w:w="108" w:type="dxa"/>
          </w:tblCellMar>
        </w:tblPrEx>
        <w:tc>
          <w:tcPr>
            <w:tcW w:w="4657" w:type="dxa"/>
            <w:noWrap w:val="0"/>
            <w:vAlign w:val="center"/>
          </w:tcPr>
          <w:p w14:paraId="6B165D06">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单位名称：</w:t>
            </w:r>
          </w:p>
        </w:tc>
        <w:tc>
          <w:tcPr>
            <w:tcW w:w="4655" w:type="dxa"/>
            <w:noWrap w:val="0"/>
            <w:vAlign w:val="center"/>
          </w:tcPr>
          <w:p w14:paraId="0CBED58C">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单位名称:</w:t>
            </w:r>
          </w:p>
        </w:tc>
      </w:tr>
      <w:tr w14:paraId="274A4A2B">
        <w:tblPrEx>
          <w:tblCellMar>
            <w:top w:w="0" w:type="dxa"/>
            <w:left w:w="108" w:type="dxa"/>
            <w:bottom w:w="0" w:type="dxa"/>
            <w:right w:w="108" w:type="dxa"/>
          </w:tblCellMar>
        </w:tblPrEx>
        <w:tc>
          <w:tcPr>
            <w:tcW w:w="4657" w:type="dxa"/>
            <w:noWrap w:val="0"/>
            <w:vAlign w:val="center"/>
          </w:tcPr>
          <w:p w14:paraId="0C882EF6">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地  址：</w:t>
            </w:r>
          </w:p>
        </w:tc>
        <w:tc>
          <w:tcPr>
            <w:tcW w:w="4655" w:type="dxa"/>
            <w:noWrap w:val="0"/>
            <w:vAlign w:val="center"/>
          </w:tcPr>
          <w:p w14:paraId="231A28E5">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地址：</w:t>
            </w:r>
          </w:p>
        </w:tc>
      </w:tr>
      <w:tr w14:paraId="6BECA87F">
        <w:tblPrEx>
          <w:tblCellMar>
            <w:top w:w="0" w:type="dxa"/>
            <w:left w:w="108" w:type="dxa"/>
            <w:bottom w:w="0" w:type="dxa"/>
            <w:right w:w="108" w:type="dxa"/>
          </w:tblCellMar>
        </w:tblPrEx>
        <w:trPr>
          <w:trHeight w:val="579" w:hRule="atLeast"/>
        </w:trPr>
        <w:tc>
          <w:tcPr>
            <w:tcW w:w="4657" w:type="dxa"/>
            <w:noWrap w:val="0"/>
            <w:vAlign w:val="center"/>
          </w:tcPr>
          <w:p w14:paraId="38577847">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法定代表人：（签字）</w:t>
            </w:r>
          </w:p>
        </w:tc>
        <w:tc>
          <w:tcPr>
            <w:tcW w:w="4655" w:type="dxa"/>
            <w:noWrap w:val="0"/>
            <w:vAlign w:val="center"/>
          </w:tcPr>
          <w:p w14:paraId="31E94A7D">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法定代表人或代理人：（签字）</w:t>
            </w:r>
          </w:p>
        </w:tc>
      </w:tr>
      <w:tr w14:paraId="1F80589F">
        <w:tblPrEx>
          <w:tblCellMar>
            <w:top w:w="0" w:type="dxa"/>
            <w:left w:w="108" w:type="dxa"/>
            <w:bottom w:w="0" w:type="dxa"/>
            <w:right w:w="108" w:type="dxa"/>
          </w:tblCellMar>
        </w:tblPrEx>
        <w:tc>
          <w:tcPr>
            <w:tcW w:w="4657" w:type="dxa"/>
            <w:noWrap w:val="0"/>
            <w:vAlign w:val="center"/>
          </w:tcPr>
          <w:p w14:paraId="32025053">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p>
        </w:tc>
        <w:tc>
          <w:tcPr>
            <w:tcW w:w="4655" w:type="dxa"/>
            <w:noWrap w:val="0"/>
            <w:vAlign w:val="center"/>
          </w:tcPr>
          <w:p w14:paraId="6131E221">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开户银行:</w:t>
            </w:r>
          </w:p>
        </w:tc>
      </w:tr>
      <w:tr w14:paraId="1401115E">
        <w:tblPrEx>
          <w:tblCellMar>
            <w:top w:w="0" w:type="dxa"/>
            <w:left w:w="108" w:type="dxa"/>
            <w:bottom w:w="0" w:type="dxa"/>
            <w:right w:w="108" w:type="dxa"/>
          </w:tblCellMar>
        </w:tblPrEx>
        <w:trPr>
          <w:trHeight w:val="507" w:hRule="atLeast"/>
        </w:trPr>
        <w:tc>
          <w:tcPr>
            <w:tcW w:w="4657" w:type="dxa"/>
            <w:noWrap w:val="0"/>
            <w:vAlign w:val="center"/>
          </w:tcPr>
          <w:p w14:paraId="5A5015A9">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p>
        </w:tc>
        <w:tc>
          <w:tcPr>
            <w:tcW w:w="4655" w:type="dxa"/>
            <w:noWrap w:val="0"/>
            <w:vAlign w:val="center"/>
          </w:tcPr>
          <w:p w14:paraId="3FDC6228">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帐    号：</w:t>
            </w:r>
          </w:p>
        </w:tc>
      </w:tr>
      <w:tr w14:paraId="68B452AC">
        <w:tblPrEx>
          <w:tblCellMar>
            <w:top w:w="0" w:type="dxa"/>
            <w:left w:w="108" w:type="dxa"/>
            <w:bottom w:w="0" w:type="dxa"/>
            <w:right w:w="108" w:type="dxa"/>
          </w:tblCellMar>
        </w:tblPrEx>
        <w:trPr>
          <w:trHeight w:val="663" w:hRule="atLeast"/>
        </w:trPr>
        <w:tc>
          <w:tcPr>
            <w:tcW w:w="4657" w:type="dxa"/>
            <w:noWrap w:val="0"/>
            <w:vAlign w:val="center"/>
          </w:tcPr>
          <w:p w14:paraId="21434A51">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签订日期：     年   月  日</w:t>
            </w:r>
          </w:p>
        </w:tc>
        <w:tc>
          <w:tcPr>
            <w:tcW w:w="4655" w:type="dxa"/>
            <w:noWrap w:val="0"/>
            <w:vAlign w:val="center"/>
          </w:tcPr>
          <w:p w14:paraId="21523720">
            <w:pPr>
              <w:keepNext w:val="0"/>
              <w:keepLines w:val="0"/>
              <w:pageBreakBefore w:val="0"/>
              <w:widowControl/>
              <w:tabs>
                <w:tab w:val="left" w:pos="480"/>
              </w:tabs>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签订日期：   年   月   日</w:t>
            </w:r>
          </w:p>
        </w:tc>
      </w:tr>
    </w:tbl>
    <w:p w14:paraId="497B95E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325D5"/>
    <w:rsid w:val="5C8210E0"/>
    <w:rsid w:val="692D0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Calibri" w:hAnsi="Calibri" w:eastAsia="宋体" w:cs="Times New Roman"/>
      <w:sz w:val="24"/>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sz w:val="18"/>
    </w:rPr>
  </w:style>
  <w:style w:type="paragraph" w:customStyle="1" w:styleId="5">
    <w:name w:val="null3"/>
    <w:hidden/>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2025-09-24T11:50:26Z</dcterms:created>
  <dc:creator>Administrator</dc:creator>
  <cp:lastModifiedBy>云淇</cp:lastModifiedBy>
  <dcterms:modified xsi:type="dcterms:W3CDTF">2025-09-24T12:01:40Z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eyJoZGlkIjoiMmMzOWI3ODU4NzNhY2Y3MzAwMTRkMmQxYzk0ODMyMzciLCJ1c2VySWQiOiI0NjI1MDU0NzAifQ==</vt:lpwstr>
  </property>
  <property fmtid="{D5CDD505-2E9C-101B-9397-08002B2CF9AE}" pid="4" name="ICV">
    <vt:lpwstr>4C5BB5F873FF4470B9333C8749689FE3_13</vt:lpwstr>
  </property>
</Properties>
</file>