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版本号：JC2025-CG0502(27)20250928001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西安市长安区小峪等九座水库管理范围和保护范围划定项目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JC2025-CG0502(27)</w:t>
      </w:r>
      <w:r>
        <w:br/>
      </w:r>
      <w:r>
        <w:br/>
      </w:r>
      <w:r>
        <w:br/>
      </w:r>
    </w:p>
    <w:p>
      <w:pPr>
        <w:pStyle w:val="null3"/>
        <w:jc w:val="center"/>
        <w:outlineLvl w:val="2"/>
      </w:pPr>
      <w:r>
        <w:rPr>
          <w:rFonts w:ascii="仿宋_GB2312" w:hAnsi="仿宋_GB2312" w:cs="仿宋_GB2312" w:eastAsia="仿宋_GB2312"/>
          <w:sz w:val="28"/>
          <w:b/>
        </w:rPr>
        <w:t>西安市长安区大峪灌区管理站</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西安市长安区大峪灌区管理站</w:t>
      </w:r>
      <w:r>
        <w:rPr>
          <w:rFonts w:ascii="仿宋_GB2312" w:hAnsi="仿宋_GB2312" w:cs="仿宋_GB2312" w:eastAsia="仿宋_GB2312"/>
        </w:rPr>
        <w:t>委托，拟对</w:t>
      </w:r>
      <w:r>
        <w:rPr>
          <w:rFonts w:ascii="仿宋_GB2312" w:hAnsi="仿宋_GB2312" w:cs="仿宋_GB2312" w:eastAsia="仿宋_GB2312"/>
        </w:rPr>
        <w:t>西安市长安区小峪等九座水库管理范围和保护范围划定项目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西安市长安区小峪等九座水库管理范围和保护范围划定项目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小峪等九座水库管理范围和保护范围划定项目，主要建设内容包括:许家沟水库、东沟水库、大峪水库、正岔水库、翠华山水库、塔盘沟水库、东沟二号水库、三合一水库、小峪等九座水库航空测绘、划界资料图纸绘制、数据库编制及入库、界桩制安、公告牌设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采购包1（西安市长安区小峪等九座水库管理范围和保护范围划定项目）：属于专门面向中小企业采购。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有效的主体资格证明：供应商须具备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8、供应商资质：供应商须具备工程勘察专业（工程测量）乙级及以上资质或测绘乙级及以上资质证书；</w:t>
      </w:r>
    </w:p>
    <w:p>
      <w:pPr>
        <w:pStyle w:val="null3"/>
      </w:pPr>
      <w:r>
        <w:rPr>
          <w:rFonts w:ascii="仿宋_GB2312" w:hAnsi="仿宋_GB2312" w:cs="仿宋_GB2312" w:eastAsia="仿宋_GB2312"/>
        </w:rPr>
        <w:t>9、拟派项目负责人：拟派项目负责人须具备水利相关专业或测绘类相关专业高级及以上技术职称；</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西安市长安区大峪灌区管理站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西安市长安区引镇街办北新街一号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029-85886387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西安市市本级高新区沣惠南路16号泰华金贸国际4号楼2203室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魏朝刚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029-88228971/17392954351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采购包1：671,458.92元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以成交价作为基数，按照原《国家计委关于印发&lt;招标代理服务收费管理暂行办法&gt;的通知》（计价格[2002]1980号）及《国家发展改革委办公厅关于招标代理服务收费有关问题的通知》（发改价格[2003]857号）文件的通知标准进行计算。 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西安市长安区大峪灌区管理站</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西安市长安区大峪灌区管理站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西安市长安区大峪灌区管理站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规范及行业标准；（2）采购人根据合同要求进行验收，验收依据为合同文本、竞争性磋商文件、响应文件；（3）验收合格后，填写验收单，并向采购人提交所有资料，以便使用单位日后管理和维护；（4）验收过程中所产生的费用由供应商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联系人：魏朝刚</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小峪等九座水库管理范围和保护范围划定项目，主要建设内容包括:许家沟水库、东沟水库、大峪水库、正岔水库、翠华山水库、塔盘沟水库、东沟二号水库、三合一水库、小峪等九座水库航空测绘、划界资料图纸绘制、数据库编制及入库、界桩制安、公告牌设置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671,458.92</w:t>
      </w:r>
    </w:p>
    <w:p>
      <w:pPr>
        <w:pStyle w:val="null3"/>
      </w:pPr>
      <w:r>
        <w:rPr>
          <w:rFonts w:ascii="仿宋_GB2312" w:hAnsi="仿宋_GB2312" w:cs="仿宋_GB2312" w:eastAsia="仿宋_GB2312"/>
        </w:rPr>
        <w:t>采购包最高限价（元）: 671,458.92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西安市长安区小峪等九座水库管理范围和保护范围划定项目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671,458.92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标的名称：西安市长安区小峪等九座水库管理范围和保护范围划定项目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1、项目概况：</w:t>
            </w:r>
          </w:p>
          <w:p>
            <w:pPr>
              <w:pStyle w:val="null3"/>
              <w:ind w:firstLine="400"/>
            </w:pPr>
            <w:r>
              <w:rPr>
                <w:rFonts w:ascii="仿宋_GB2312" w:hAnsi="仿宋_GB2312" w:cs="仿宋_GB2312" w:eastAsia="仿宋_GB2312"/>
                <w:sz w:val="20"/>
              </w:rPr>
              <w:t>西安市长安区小峪等九座水库管理范围和保护范围划定项目，主要建设内容包括</w:t>
            </w:r>
            <w:r>
              <w:rPr>
                <w:rFonts w:ascii="仿宋_GB2312" w:hAnsi="仿宋_GB2312" w:cs="仿宋_GB2312" w:eastAsia="仿宋_GB2312"/>
                <w:sz w:val="20"/>
              </w:rPr>
              <w:t>:许家沟水库、东沟水库、大峪水库、正岔水库、翠华山水库、塔盘沟水库、东沟二号水库、三合一水库、小峪等九座水库航空测绘、划界资料图纸绘制、数据库编制及入库、界桩制安、公告牌设置等。</w:t>
            </w:r>
          </w:p>
          <w:p>
            <w:pPr>
              <w:pStyle w:val="null3"/>
            </w:pPr>
            <w:r>
              <w:rPr>
                <w:rFonts w:ascii="仿宋_GB2312" w:hAnsi="仿宋_GB2312" w:cs="仿宋_GB2312" w:eastAsia="仿宋_GB2312"/>
                <w:sz w:val="20"/>
                <w:b/>
              </w:rPr>
              <w:t>2、划界范围：</w:t>
            </w:r>
          </w:p>
          <w:p>
            <w:pPr>
              <w:pStyle w:val="null3"/>
              <w:ind w:firstLine="400"/>
            </w:pPr>
            <w:r>
              <w:rPr>
                <w:rFonts w:ascii="仿宋_GB2312" w:hAnsi="仿宋_GB2312" w:cs="仿宋_GB2312" w:eastAsia="仿宋_GB2312"/>
                <w:sz w:val="20"/>
              </w:rPr>
              <w:t>本次划界工作涉及</w:t>
            </w:r>
            <w:r>
              <w:rPr>
                <w:rFonts w:ascii="仿宋_GB2312" w:hAnsi="仿宋_GB2312" w:cs="仿宋_GB2312" w:eastAsia="仿宋_GB2312"/>
                <w:sz w:val="20"/>
              </w:rPr>
              <w:t>许家沟水库、东沟水库、大峪水库、正岔水库、翠华山水库、塔盘沟水库、东沟二号水库、三合一水库、小峪等九座水库。各个</w:t>
            </w:r>
            <w:r>
              <w:rPr>
                <w:rFonts w:ascii="仿宋_GB2312" w:hAnsi="仿宋_GB2312" w:cs="仿宋_GB2312" w:eastAsia="仿宋_GB2312"/>
                <w:sz w:val="20"/>
              </w:rPr>
              <w:t>水库划界范围</w:t>
            </w:r>
            <w:r>
              <w:rPr>
                <w:rFonts w:ascii="仿宋_GB2312" w:hAnsi="仿宋_GB2312" w:cs="仿宋_GB2312" w:eastAsia="仿宋_GB2312"/>
                <w:sz w:val="20"/>
              </w:rPr>
              <w:t>包括工程</w:t>
            </w:r>
            <w:r>
              <w:rPr>
                <w:rFonts w:ascii="仿宋_GB2312" w:hAnsi="仿宋_GB2312" w:cs="仿宋_GB2312" w:eastAsia="仿宋_GB2312"/>
                <w:sz w:val="20"/>
              </w:rPr>
              <w:t>管理和保护范围及库区管理和保护范围，</w:t>
            </w:r>
            <w:r>
              <w:rPr>
                <w:rFonts w:ascii="仿宋_GB2312" w:hAnsi="仿宋_GB2312" w:cs="仿宋_GB2312" w:eastAsia="仿宋_GB2312"/>
                <w:sz w:val="20"/>
              </w:rPr>
              <w:t>工程管理</w:t>
            </w:r>
            <w:r>
              <w:rPr>
                <w:rFonts w:ascii="仿宋_GB2312" w:hAnsi="仿宋_GB2312" w:cs="仿宋_GB2312" w:eastAsia="仿宋_GB2312"/>
                <w:sz w:val="20"/>
              </w:rPr>
              <w:t>范围主要包括</w:t>
            </w:r>
            <w:r>
              <w:rPr>
                <w:rFonts w:ascii="仿宋_GB2312" w:hAnsi="仿宋_GB2312" w:cs="仿宋_GB2312" w:eastAsia="仿宋_GB2312"/>
                <w:sz w:val="20"/>
              </w:rPr>
              <w:t>枢纽</w:t>
            </w:r>
            <w:r>
              <w:rPr>
                <w:rFonts w:ascii="仿宋_GB2312" w:hAnsi="仿宋_GB2312" w:cs="仿宋_GB2312" w:eastAsia="仿宋_GB2312"/>
                <w:sz w:val="20"/>
              </w:rPr>
              <w:t>大坝、</w:t>
            </w:r>
            <w:r>
              <w:rPr>
                <w:rFonts w:ascii="仿宋_GB2312" w:hAnsi="仿宋_GB2312" w:cs="仿宋_GB2312" w:eastAsia="仿宋_GB2312"/>
                <w:sz w:val="20"/>
              </w:rPr>
              <w:t>溢洪道</w:t>
            </w:r>
            <w:r>
              <w:rPr>
                <w:rFonts w:ascii="仿宋_GB2312" w:hAnsi="仿宋_GB2312" w:cs="仿宋_GB2312" w:eastAsia="仿宋_GB2312"/>
                <w:sz w:val="20"/>
              </w:rPr>
              <w:t>、输水道等建构筑物及其周围一定区域，</w:t>
            </w:r>
            <w:r>
              <w:rPr>
                <w:rFonts w:ascii="仿宋_GB2312" w:hAnsi="仿宋_GB2312" w:cs="仿宋_GB2312" w:eastAsia="仿宋_GB2312"/>
                <w:sz w:val="20"/>
              </w:rPr>
              <w:t>库区</w:t>
            </w:r>
            <w:r>
              <w:rPr>
                <w:rFonts w:ascii="仿宋_GB2312" w:hAnsi="仿宋_GB2312" w:cs="仿宋_GB2312" w:eastAsia="仿宋_GB2312"/>
                <w:sz w:val="20"/>
              </w:rPr>
              <w:t>管理范围为水库校核洪水位以内的区域。</w:t>
            </w:r>
            <w:r>
              <w:rPr>
                <w:rFonts w:ascii="仿宋_GB2312" w:hAnsi="仿宋_GB2312" w:cs="仿宋_GB2312" w:eastAsia="仿宋_GB2312"/>
                <w:sz w:val="20"/>
              </w:rPr>
              <w:t>保护</w:t>
            </w:r>
            <w:r>
              <w:rPr>
                <w:rFonts w:ascii="仿宋_GB2312" w:hAnsi="仿宋_GB2312" w:cs="仿宋_GB2312" w:eastAsia="仿宋_GB2312"/>
                <w:sz w:val="20"/>
              </w:rPr>
              <w:t>范围为从工程</w:t>
            </w:r>
            <w:r>
              <w:rPr>
                <w:rFonts w:ascii="仿宋_GB2312" w:hAnsi="仿宋_GB2312" w:cs="仿宋_GB2312" w:eastAsia="仿宋_GB2312"/>
                <w:sz w:val="20"/>
              </w:rPr>
              <w:t>及</w:t>
            </w:r>
            <w:r>
              <w:rPr>
                <w:rFonts w:ascii="仿宋_GB2312" w:hAnsi="仿宋_GB2312" w:cs="仿宋_GB2312" w:eastAsia="仿宋_GB2312"/>
                <w:sz w:val="20"/>
              </w:rPr>
              <w:t>库区管理范围线外延一定的区域。</w:t>
            </w:r>
          </w:p>
          <w:p>
            <w:pPr>
              <w:pStyle w:val="null3"/>
            </w:pPr>
            <w:r>
              <w:rPr>
                <w:rFonts w:ascii="仿宋_GB2312" w:hAnsi="仿宋_GB2312" w:cs="仿宋_GB2312" w:eastAsia="仿宋_GB2312"/>
                <w:sz w:val="20"/>
                <w:b/>
              </w:rPr>
              <w:t>3、</w:t>
            </w:r>
            <w:r>
              <w:rPr>
                <w:rFonts w:ascii="仿宋_GB2312" w:hAnsi="仿宋_GB2312" w:cs="仿宋_GB2312" w:eastAsia="仿宋_GB2312"/>
                <w:sz w:val="20"/>
                <w:b/>
              </w:rPr>
              <w:t>划界工作主要内容</w:t>
            </w:r>
            <w:r>
              <w:rPr>
                <w:rFonts w:ascii="仿宋_GB2312" w:hAnsi="仿宋_GB2312" w:cs="仿宋_GB2312" w:eastAsia="仿宋_GB2312"/>
                <w:sz w:val="20"/>
                <w:b/>
              </w:rPr>
              <w:t>：</w:t>
            </w:r>
          </w:p>
          <w:p>
            <w:pPr>
              <w:pStyle w:val="null3"/>
              <w:ind w:firstLine="400"/>
            </w:pPr>
            <w:r>
              <w:rPr>
                <w:rFonts w:ascii="仿宋_GB2312" w:hAnsi="仿宋_GB2312" w:cs="仿宋_GB2312" w:eastAsia="仿宋_GB2312"/>
                <w:sz w:val="20"/>
              </w:rPr>
              <w:t>编制实施方案、基础测绘、管理与保护范围界线划定、界桩界牌制作及埋没、划界成果的建库、验收及公告等相关内容。</w:t>
            </w:r>
          </w:p>
          <w:p>
            <w:pPr>
              <w:pStyle w:val="null3"/>
            </w:pPr>
            <w:r>
              <w:rPr>
                <w:rFonts w:ascii="仿宋_GB2312" w:hAnsi="仿宋_GB2312" w:cs="仿宋_GB2312" w:eastAsia="仿宋_GB2312"/>
                <w:sz w:val="20"/>
                <w:b/>
              </w:rPr>
              <w:t>4、</w:t>
            </w:r>
            <w:r>
              <w:rPr>
                <w:rFonts w:ascii="仿宋_GB2312" w:hAnsi="仿宋_GB2312" w:cs="仿宋_GB2312" w:eastAsia="仿宋_GB2312"/>
                <w:sz w:val="20"/>
                <w:b/>
              </w:rPr>
              <w:t>划界标准</w:t>
            </w:r>
            <w:r>
              <w:rPr>
                <w:rFonts w:ascii="仿宋_GB2312" w:hAnsi="仿宋_GB2312" w:cs="仿宋_GB2312" w:eastAsia="仿宋_GB2312"/>
                <w:sz w:val="20"/>
                <w:b/>
              </w:rPr>
              <w:t>：</w:t>
            </w:r>
          </w:p>
          <w:p>
            <w:pPr>
              <w:pStyle w:val="null3"/>
              <w:ind w:firstLine="400"/>
            </w:pPr>
            <w:r>
              <w:rPr>
                <w:rFonts w:ascii="仿宋_GB2312" w:hAnsi="仿宋_GB2312" w:cs="仿宋_GB2312" w:eastAsia="仿宋_GB2312"/>
                <w:sz w:val="20"/>
              </w:rPr>
              <w:t>依据《陕西省河道管理条例》、《西安市河道管理办法》、《水库大坝安全管理条例》等相关法律法规，参照</w:t>
            </w:r>
            <w:r>
              <w:rPr>
                <w:rFonts w:ascii="仿宋_GB2312" w:hAnsi="仿宋_GB2312" w:cs="仿宋_GB2312" w:eastAsia="仿宋_GB2312"/>
                <w:sz w:val="20"/>
              </w:rPr>
              <w:t>陕西省</w:t>
            </w:r>
            <w:r>
              <w:rPr>
                <w:rFonts w:ascii="仿宋_GB2312" w:hAnsi="仿宋_GB2312" w:cs="仿宋_GB2312" w:eastAsia="仿宋_GB2312"/>
                <w:sz w:val="20"/>
              </w:rPr>
              <w:t>《河湖和水利工程管理范围及保护范围划界技术</w:t>
            </w:r>
            <w:r>
              <w:rPr>
                <w:rFonts w:ascii="仿宋_GB2312" w:hAnsi="仿宋_GB2312" w:cs="仿宋_GB2312" w:eastAsia="仿宋_GB2312"/>
                <w:sz w:val="20"/>
              </w:rPr>
              <w:t>规范</w:t>
            </w:r>
            <w:r>
              <w:rPr>
                <w:rFonts w:ascii="仿宋_GB2312" w:hAnsi="仿宋_GB2312" w:cs="仿宋_GB2312" w:eastAsia="仿宋_GB2312"/>
                <w:sz w:val="20"/>
              </w:rPr>
              <w:t>》等相关技术</w:t>
            </w:r>
            <w:r>
              <w:rPr>
                <w:rFonts w:ascii="仿宋_GB2312" w:hAnsi="仿宋_GB2312" w:cs="仿宋_GB2312" w:eastAsia="仿宋_GB2312"/>
                <w:sz w:val="20"/>
              </w:rPr>
              <w:t>文件</w:t>
            </w:r>
            <w:r>
              <w:rPr>
                <w:rFonts w:ascii="仿宋_GB2312" w:hAnsi="仿宋_GB2312" w:cs="仿宋_GB2312" w:eastAsia="仿宋_GB2312"/>
                <w:sz w:val="20"/>
              </w:rPr>
              <w:t>。</w:t>
            </w:r>
          </w:p>
          <w:p>
            <w:pPr>
              <w:pStyle w:val="null3"/>
            </w:pPr>
            <w:r>
              <w:rPr>
                <w:rFonts w:ascii="仿宋_GB2312" w:hAnsi="仿宋_GB2312" w:cs="仿宋_GB2312" w:eastAsia="仿宋_GB2312"/>
                <w:sz w:val="20"/>
                <w:b/>
              </w:rPr>
              <w:t>5、</w:t>
            </w:r>
            <w:r>
              <w:rPr>
                <w:rFonts w:ascii="仿宋_GB2312" w:hAnsi="仿宋_GB2312" w:cs="仿宋_GB2312" w:eastAsia="仿宋_GB2312"/>
                <w:sz w:val="20"/>
                <w:b/>
              </w:rPr>
              <w:t>技术标准</w:t>
            </w:r>
          </w:p>
          <w:p>
            <w:pPr>
              <w:pStyle w:val="null3"/>
            </w:pPr>
            <w:r>
              <w:rPr>
                <w:rFonts w:ascii="仿宋_GB2312" w:hAnsi="仿宋_GB2312" w:cs="仿宋_GB2312" w:eastAsia="仿宋_GB2312"/>
                <w:sz w:val="20"/>
              </w:rPr>
              <w:t>（</w:t>
            </w:r>
            <w:r>
              <w:rPr>
                <w:rFonts w:ascii="仿宋_GB2312" w:hAnsi="仿宋_GB2312" w:cs="仿宋_GB2312" w:eastAsia="仿宋_GB2312"/>
                <w:sz w:val="20"/>
              </w:rPr>
              <w:t>1）《防洪标准》（GB50201-2014）；</w:t>
            </w:r>
          </w:p>
          <w:p>
            <w:pPr>
              <w:pStyle w:val="null3"/>
            </w:pPr>
            <w:r>
              <w:rPr>
                <w:rFonts w:ascii="仿宋_GB2312" w:hAnsi="仿宋_GB2312" w:cs="仿宋_GB2312" w:eastAsia="仿宋_GB2312"/>
                <w:sz w:val="20"/>
              </w:rPr>
              <w:t>（</w:t>
            </w:r>
            <w:r>
              <w:rPr>
                <w:rFonts w:ascii="仿宋_GB2312" w:hAnsi="仿宋_GB2312" w:cs="仿宋_GB2312" w:eastAsia="仿宋_GB2312"/>
                <w:sz w:val="20"/>
              </w:rPr>
              <w:t>2）《水库工程管理设计规范》（SL106-2017）；</w:t>
            </w:r>
          </w:p>
          <w:p>
            <w:pPr>
              <w:pStyle w:val="null3"/>
            </w:pPr>
            <w:r>
              <w:rPr>
                <w:rFonts w:ascii="仿宋_GB2312" w:hAnsi="仿宋_GB2312" w:cs="仿宋_GB2312" w:eastAsia="仿宋_GB2312"/>
                <w:sz w:val="20"/>
              </w:rPr>
              <w:t>（</w:t>
            </w:r>
            <w:r>
              <w:rPr>
                <w:rFonts w:ascii="仿宋_GB2312" w:hAnsi="仿宋_GB2312" w:cs="仿宋_GB2312" w:eastAsia="仿宋_GB2312"/>
                <w:sz w:val="20"/>
              </w:rPr>
              <w:t>3）《土地利用现状分类》（GB/T 21010-2017）</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4）《国家三、四等水准测量规范》（GB12898-2009）</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5）《全球定位系统实时动态测量（RTK）技术规范》（CH/T2009-2010）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6）《水利水电工程测量规范》（SL 197-2013）；</w:t>
            </w:r>
          </w:p>
          <w:p>
            <w:pPr>
              <w:pStyle w:val="null3"/>
            </w:pPr>
            <w:r>
              <w:rPr>
                <w:rFonts w:ascii="仿宋_GB2312" w:hAnsi="仿宋_GB2312" w:cs="仿宋_GB2312" w:eastAsia="仿宋_GB2312"/>
                <w:sz w:val="20"/>
              </w:rPr>
              <w:t>（</w:t>
            </w:r>
            <w:r>
              <w:rPr>
                <w:rFonts w:ascii="仿宋_GB2312" w:hAnsi="仿宋_GB2312" w:cs="仿宋_GB2312" w:eastAsia="仿宋_GB2312"/>
                <w:sz w:val="20"/>
              </w:rPr>
              <w:t>7）《低空数字航空摄影测量外业规范》（CH/T 3004-2021）</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8）《低空数字航空摄影测量内业规范》（CH/T 3003-2021）</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9）《低空数字航空摄影规范》（CH/T 3005-2021）</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10）《基础地理信息数字成果1∶500、1∶1000、1∶2000数字线划图》（CH/T 9008.1-2010）；</w:t>
            </w:r>
          </w:p>
          <w:p>
            <w:pPr>
              <w:pStyle w:val="null3"/>
            </w:pPr>
            <w:r>
              <w:rPr>
                <w:rFonts w:ascii="仿宋_GB2312" w:hAnsi="仿宋_GB2312" w:cs="仿宋_GB2312" w:eastAsia="仿宋_GB2312"/>
                <w:sz w:val="20"/>
              </w:rPr>
              <w:t>（</w:t>
            </w:r>
            <w:r>
              <w:rPr>
                <w:rFonts w:ascii="仿宋_GB2312" w:hAnsi="仿宋_GB2312" w:cs="仿宋_GB2312" w:eastAsia="仿宋_GB2312"/>
                <w:sz w:val="20"/>
              </w:rPr>
              <w:t>11）《国家基本比例尺地形图更新规范》（GB/T 14268-2008）；</w:t>
            </w:r>
          </w:p>
          <w:p>
            <w:pPr>
              <w:pStyle w:val="null3"/>
            </w:pPr>
            <w:r>
              <w:rPr>
                <w:rFonts w:ascii="仿宋_GB2312" w:hAnsi="仿宋_GB2312" w:cs="仿宋_GB2312" w:eastAsia="仿宋_GB2312"/>
                <w:sz w:val="20"/>
              </w:rPr>
              <w:t>（</w:t>
            </w:r>
            <w:r>
              <w:rPr>
                <w:rFonts w:ascii="仿宋_GB2312" w:hAnsi="仿宋_GB2312" w:cs="仿宋_GB2312" w:eastAsia="仿宋_GB2312"/>
                <w:sz w:val="20"/>
              </w:rPr>
              <w:t>12）《测绘成果质量检查与验收》（GB/T 24356-2023）</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13）《数字航空摄影测量空中三角测量规范》（GB/T 43995-2024）；</w:t>
            </w:r>
          </w:p>
          <w:p>
            <w:pPr>
              <w:pStyle w:val="null3"/>
            </w:pPr>
            <w:r>
              <w:rPr>
                <w:rFonts w:ascii="仿宋_GB2312" w:hAnsi="仿宋_GB2312" w:cs="仿宋_GB2312" w:eastAsia="仿宋_GB2312"/>
                <w:sz w:val="20"/>
              </w:rPr>
              <w:t>（</w:t>
            </w:r>
            <w:r>
              <w:rPr>
                <w:rFonts w:ascii="仿宋_GB2312" w:hAnsi="仿宋_GB2312" w:cs="仿宋_GB2312" w:eastAsia="仿宋_GB2312"/>
                <w:sz w:val="20"/>
              </w:rPr>
              <w:t>14）陕西省《河湖和水利工程管理范围及保护范围划界技术规范》(DB61/T 1418-2021)；</w:t>
            </w:r>
          </w:p>
          <w:p>
            <w:pPr>
              <w:pStyle w:val="null3"/>
            </w:pPr>
            <w:r>
              <w:rPr>
                <w:rFonts w:ascii="仿宋_GB2312" w:hAnsi="仿宋_GB2312" w:cs="仿宋_GB2312" w:eastAsia="仿宋_GB2312"/>
                <w:sz w:val="20"/>
              </w:rPr>
              <w:t>（</w:t>
            </w:r>
            <w:r>
              <w:rPr>
                <w:rFonts w:ascii="仿宋_GB2312" w:hAnsi="仿宋_GB2312" w:cs="仿宋_GB2312" w:eastAsia="仿宋_GB2312"/>
                <w:sz w:val="20"/>
              </w:rPr>
              <w:t>15）其它相关规程、规范及技术标准</w:t>
            </w:r>
            <w:r>
              <w:rPr>
                <w:rFonts w:ascii="仿宋_GB2312" w:hAnsi="仿宋_GB2312" w:cs="仿宋_GB2312" w:eastAsia="仿宋_GB2312"/>
                <w:sz w:val="20"/>
              </w:rPr>
              <w:t>。</w:t>
            </w:r>
          </w:p>
          <w:p>
            <w:pPr>
              <w:pStyle w:val="null3"/>
            </w:pPr>
            <w:r>
              <w:rPr>
                <w:rFonts w:ascii="仿宋_GB2312" w:hAnsi="仿宋_GB2312" w:cs="仿宋_GB2312" w:eastAsia="仿宋_GB2312"/>
                <w:sz w:val="20"/>
                <w:b/>
              </w:rPr>
              <w:t>6、成果资料：</w:t>
            </w:r>
          </w:p>
          <w:p>
            <w:pPr>
              <w:pStyle w:val="null3"/>
            </w:pPr>
            <w:r>
              <w:rPr>
                <w:rFonts w:ascii="仿宋_GB2312" w:hAnsi="仿宋_GB2312" w:cs="仿宋_GB2312" w:eastAsia="仿宋_GB2312"/>
                <w:sz w:val="20"/>
              </w:rPr>
              <w:t>划定工作完成后，提交的资料包括：</w:t>
            </w:r>
          </w:p>
          <w:p>
            <w:pPr>
              <w:pStyle w:val="null3"/>
            </w:pPr>
            <w:r>
              <w:rPr>
                <w:rFonts w:ascii="仿宋_GB2312" w:hAnsi="仿宋_GB2312" w:cs="仿宋_GB2312" w:eastAsia="仿宋_GB2312"/>
                <w:sz w:val="20"/>
              </w:rPr>
              <w:t>（</w:t>
            </w:r>
            <w:r>
              <w:rPr>
                <w:rFonts w:ascii="仿宋_GB2312" w:hAnsi="仿宋_GB2312" w:cs="仿宋_GB2312" w:eastAsia="仿宋_GB2312"/>
                <w:sz w:val="20"/>
              </w:rPr>
              <w:t>1）长安区小峪等九座水库管理与保护范围划界实施方案及附件、地形图、成果数据库、报告及附件；</w:t>
            </w:r>
          </w:p>
          <w:p>
            <w:pPr>
              <w:pStyle w:val="null3"/>
            </w:pPr>
            <w:r>
              <w:rPr>
                <w:rFonts w:ascii="仿宋_GB2312" w:hAnsi="仿宋_GB2312" w:cs="仿宋_GB2312" w:eastAsia="仿宋_GB2312"/>
                <w:sz w:val="20"/>
              </w:rPr>
              <w:t>（</w:t>
            </w:r>
            <w:r>
              <w:rPr>
                <w:rFonts w:ascii="仿宋_GB2312" w:hAnsi="仿宋_GB2312" w:cs="仿宋_GB2312" w:eastAsia="仿宋_GB2312"/>
                <w:sz w:val="20"/>
              </w:rPr>
              <w:t>2）根据项目需要提供的其他资料。</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其他未尽事宜按采购人及上级部门要求执行。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1、服务期：自合同签订之日起</w:t>
            </w:r>
            <w:r>
              <w:rPr>
                <w:rFonts w:ascii="仿宋_GB2312" w:hAnsi="仿宋_GB2312" w:cs="仿宋_GB2312" w:eastAsia="仿宋_GB2312"/>
                <w:sz w:val="20"/>
              </w:rPr>
              <w:t>30</w:t>
            </w:r>
            <w:r>
              <w:rPr>
                <w:rFonts w:ascii="仿宋_GB2312" w:hAnsi="仿宋_GB2312" w:cs="仿宋_GB2312" w:eastAsia="仿宋_GB2312"/>
                <w:sz w:val="20"/>
              </w:rPr>
              <w:t>日历天。</w:t>
            </w:r>
          </w:p>
          <w:p>
            <w:pPr>
              <w:pStyle w:val="null3"/>
            </w:pPr>
            <w:r>
              <w:rPr>
                <w:rFonts w:ascii="仿宋_GB2312" w:hAnsi="仿宋_GB2312" w:cs="仿宋_GB2312" w:eastAsia="仿宋_GB2312"/>
                <w:sz w:val="20"/>
              </w:rPr>
              <w:t>2、服务地点：采购人指定地点。</w:t>
            </w:r>
          </w:p>
          <w:p>
            <w:pPr>
              <w:pStyle w:val="null3"/>
            </w:pPr>
            <w:r>
              <w:rPr>
                <w:rFonts w:ascii="仿宋_GB2312" w:hAnsi="仿宋_GB2312" w:cs="仿宋_GB2312" w:eastAsia="仿宋_GB2312"/>
                <w:sz w:val="20"/>
              </w:rPr>
              <w:t>3、服务范围：</w:t>
            </w:r>
            <w:r>
              <w:rPr>
                <w:rFonts w:ascii="仿宋_GB2312" w:hAnsi="仿宋_GB2312" w:cs="仿宋_GB2312" w:eastAsia="仿宋_GB2312"/>
                <w:sz w:val="20"/>
              </w:rPr>
              <w:t>西安市长安区小峪等九座水库管理范围和保护范围划定项目，主要建设内容包括</w:t>
            </w:r>
            <w:r>
              <w:rPr>
                <w:rFonts w:ascii="仿宋_GB2312" w:hAnsi="仿宋_GB2312" w:cs="仿宋_GB2312" w:eastAsia="仿宋_GB2312"/>
                <w:sz w:val="20"/>
              </w:rPr>
              <w:t>:许家沟水库、东沟水库、大峪水库、正岔水库、翠华山水库、塔盘沟水库、东沟二号水库、三合一水库、小峪等九座水库航空测绘、划界资料图纸绘制、数据库编制及入库、界桩制安、公告牌设置等。</w:t>
            </w:r>
          </w:p>
          <w:p>
            <w:pPr>
              <w:pStyle w:val="null3"/>
            </w:pPr>
            <w:r>
              <w:rPr>
                <w:rFonts w:ascii="仿宋_GB2312" w:hAnsi="仿宋_GB2312" w:cs="仿宋_GB2312" w:eastAsia="仿宋_GB2312"/>
                <w:sz w:val="20"/>
              </w:rPr>
              <w:t>4、服务质量：符合国家现行规范及行业标准。</w:t>
            </w:r>
          </w:p>
          <w:p>
            <w:pPr>
              <w:pStyle w:val="null3"/>
            </w:pPr>
            <w:r>
              <w:rPr>
                <w:rFonts w:ascii="仿宋_GB2312" w:hAnsi="仿宋_GB2312" w:cs="仿宋_GB2312" w:eastAsia="仿宋_GB2312"/>
                <w:sz w:val="20"/>
              </w:rPr>
              <w:t>5、付款方式：（1）服务期满，提交经采购人认可的成果文件后，支付合同总价款的80%；（2）经验收合格无质量问题后，支付合同尾款20%。（3）每期付款时供应商提供等额发票申请款项。（4）支付方式：银行转账（5）结算方式：乙方应于甲方每次付款前向甲方开具等额发票，持服务合同、发票，与甲方结算。（6）每次付款前，乙方应向甲方提交付款申请，因乙方原因导致甲方支付延期的，甲方不承担违约责任。</w:t>
            </w:r>
          </w:p>
          <w:p>
            <w:pPr>
              <w:pStyle w:val="null3"/>
            </w:pPr>
            <w:r>
              <w:rPr>
                <w:rFonts w:ascii="仿宋_GB2312" w:hAnsi="仿宋_GB2312" w:cs="仿宋_GB2312" w:eastAsia="仿宋_GB2312"/>
                <w:sz w:val="20"/>
              </w:rPr>
              <w:t>6、验收标准：（1）符合国家现行规范及行业标准；（2）采购人根据合同要求进行验收，验收依据为合同文本、竞争性磋商文件、响应文件；（3）验收合格后，填写验收单，并向采购人提交所有资料，以便使用单位日后管理和维护；（4）验收过程中所产生的费用由供应商承担。</w:t>
            </w:r>
          </w:p>
          <w:p>
            <w:pPr>
              <w:pStyle w:val="null3"/>
              <w:jc w:val="both"/>
            </w:pPr>
            <w:r>
              <w:rPr>
                <w:rFonts w:ascii="仿宋_GB2312" w:hAnsi="仿宋_GB2312" w:cs="仿宋_GB2312" w:eastAsia="仿宋_GB2312"/>
                <w:sz w:val="20"/>
              </w:rPr>
              <w:t>备注：商务要求为实质性条款，不允许负偏离。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成果文件提交后，成交人向采购人提出验收申请。2、由采购人、使用单位组织项目相关人员及专家按照磋商文件、投标（或响应）文件及磋商记录表、政府采购合同、技术指标及国家现行行业规范标准和文献资料进行验收，各项指标均应符合验收标准及要求。3、经采购人与供应商共同验收，并出具验收结果和意见，供应商负责向验收组提交验收所需文件和相关资料等，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服务期满，提交经采购人认可的成果文件后，供应商提供等额发票申请款项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经验收合格无质量问题后，供应商提供等额发票申请款项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供应商须具备有效的主体资格证明</w:t>
            </w:r>
          </w:p>
        </w:tc>
        <w:tc>
          <w:tcPr>
            <w:tcW w:type="dxa" w:w="3322"/>
          </w:tcPr>
          <w:p>
            <w:pPr>
              <w:pStyle w:val="null3"/>
            </w:pPr>
            <w:r>
              <w:rPr>
                <w:rFonts w:ascii="仿宋_GB2312" w:hAnsi="仿宋_GB2312" w:cs="仿宋_GB2312" w:eastAsia="仿宋_GB2312"/>
              </w:rPr>
              <w:t>供应商须具备有效的主体资格证明：在中华人民共和国境内注册，依法取得并有效存续的营业执照（含电子营业执照）\事业单位法人证书\民办非企业单位登记证书\非企业专业服务机构执业许可证等；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供应商承诺书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供应商须具备工程勘察专业（工程测量）乙级及以上资质或测绘乙级及以上资质证书；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拟派项目负责人须具备水利相关专业或测绘类相关专业高级及以上技术职称；</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至少以下三处的项目名称、项目编号、合同包（未分合同包的除外）与本项目完全一致：（1）响应文件封面；（2）投标（响应）函；（3）法定代表人（单位负责人）授权委托书\身份证明。</w:t>
            </w:r>
          </w:p>
        </w:tc>
        <w:tc>
          <w:tcPr>
            <w:tcW w:type="dxa" w:w="1661"/>
          </w:tcPr>
          <w:p>
            <w:pPr>
              <w:pStyle w:val="null3"/>
            </w:pPr>
            <w:r>
              <w:rPr>
                <w:rFonts w:ascii="仿宋_GB2312" w:hAnsi="仿宋_GB2312" w:cs="仿宋_GB2312" w:eastAsia="仿宋_GB2312"/>
              </w:rPr>
              <w:t>响应文件封面 商务要求偏离表 分项报价表 技术要求偏离表 中小企业声明函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商务要求偏离表 分项报价表 技术要求偏离表 中小企业声明函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商务要求偏离表 分项报价表 技术要求偏离表 中小企业声明函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分项报价表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响应文件封面 商务要求偏离表 技术要求偏离表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服务期、服务地点、服务质量</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技术要求偏离表 服务方案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商务要求偏离表 分项报价表 技术要求偏离表 中小企业声明函 残疾人福利性单位声明函 服务方案 标的清单 供应商承诺书 响应函 监狱企业的证明文件 供应商资格证明文件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对本项目的理解与认识</w:t>
            </w:r>
          </w:p>
        </w:tc>
        <w:tc>
          <w:tcPr>
            <w:tcW w:type="dxa" w:w="2492"/>
          </w:tcPr>
          <w:p>
            <w:pPr>
              <w:pStyle w:val="null3"/>
            </w:pPr>
            <w:r>
              <w:rPr>
                <w:rFonts w:ascii="仿宋_GB2312" w:hAnsi="仿宋_GB2312" w:cs="仿宋_GB2312" w:eastAsia="仿宋_GB2312"/>
              </w:rPr>
              <w:t>供应商针对本项目工作的理解与认识，内容包含：①对项目内容、任务、目标的理解与认识；②对任务区地理、气候及其他相关因素的认识与理解；③对主要技术依据文件、技术指标要求、成果规格要求的认识与理解。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工作方案（对本项目思路方法是否科学、合理、全面）</w:t>
            </w:r>
          </w:p>
        </w:tc>
        <w:tc>
          <w:tcPr>
            <w:tcW w:type="dxa" w:w="2492"/>
          </w:tcPr>
          <w:p>
            <w:pPr>
              <w:pStyle w:val="null3"/>
            </w:pPr>
            <w:r>
              <w:rPr>
                <w:rFonts w:ascii="仿宋_GB2312" w:hAnsi="仿宋_GB2312" w:cs="仿宋_GB2312" w:eastAsia="仿宋_GB2312"/>
              </w:rPr>
              <w:t>供应商针对本项目提出的工作方案及内容，内容包含：①前期准备；②外业调查；③内业计算；④成果编制；⑤审核提交。 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编制范围及主要内容</w:t>
            </w:r>
          </w:p>
        </w:tc>
        <w:tc>
          <w:tcPr>
            <w:tcW w:type="dxa" w:w="2492"/>
          </w:tcPr>
          <w:p>
            <w:pPr>
              <w:pStyle w:val="null3"/>
            </w:pPr>
            <w:r>
              <w:rPr>
                <w:rFonts w:ascii="仿宋_GB2312" w:hAnsi="仿宋_GB2312" w:cs="仿宋_GB2312" w:eastAsia="仿宋_GB2312"/>
              </w:rPr>
              <w:t>供应商针对本项目的编制范围及内容，内容包含：①编制范围；②编制框架；③编制内容。评审小组根据各供应商提供内容的完整性、可实施性及针对性等方面进行评审，每小项计1-3分，未提供得0分。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供应商对本项目项目重点、难点分析及应对措施，内容包含：①项目特点、关键技术问题的认识；②项目重点、难点分析；③重点、难点应对措施。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供应商针对本项目工作进度计划及保证措施，内容包含： ①工作进度计划；②进度保障措施。评审小组根据各供应商提供内容的完整性、可实施性及针对性等方面进行评审，每小项计1-3分，未提供得0分。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出的质量保障措施，内容包含：①质量控制与质量检查；②质量管理制度；③质量管理体系与职责。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供应商针对本项目提出的安全保障措施，内容包含：①项目可能涉及的安全风险评估；②安全管理制度；③安全保障措施。 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保密保障方案，内容包含：①项目可能涉及的失泄密风险评估；②保密管理制度；③保密保障措施。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针对本项目组织机构，内容包含：①项目管理机构配备计划；②组织机构岗位职责；③团队人员配备情况（专业配备、专业分工、机构健全等）。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供应商提供2022年1月1日（以中标通知书或合同时间为准）至今承接过类似项目业绩，每提供一项得2分，满分6分。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