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75478">
      <w:pPr>
        <w:spacing w:line="360" w:lineRule="auto"/>
        <w:jc w:val="center"/>
        <w:rPr>
          <w:rFonts w:hint="eastAsia" w:ascii="宋体" w:hAnsi="宋体"/>
          <w:sz w:val="24"/>
          <w:szCs w:val="32"/>
        </w:rPr>
      </w:pPr>
      <w:r>
        <w:rPr>
          <w:rFonts w:hint="eastAsia" w:ascii="宋体" w:hAnsi="宋体"/>
          <w:b/>
          <w:sz w:val="32"/>
          <w:szCs w:val="32"/>
        </w:rPr>
        <w:t>政府采购合同</w:t>
      </w:r>
    </w:p>
    <w:p w14:paraId="3AF16D5E">
      <w:pPr>
        <w:spacing w:line="360" w:lineRule="auto"/>
        <w:ind w:firstLine="480" w:firstLineChars="200"/>
        <w:rPr>
          <w:rFonts w:hint="eastAsia" w:ascii="宋体" w:hAnsi="宋体"/>
          <w:sz w:val="24"/>
        </w:rPr>
      </w:pP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采购，在采购人监管部门的监督管理下，由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(以下简称乙方）为该项目成交供应商。依据《中华人民共和国民法典》和《中华人民共和国政府采购法》等相关法律法规，经甲、乙双方共同协商，按下述条款和条件签署本合同。</w:t>
      </w:r>
    </w:p>
    <w:p w14:paraId="7D6ADDA5">
      <w:pPr>
        <w:spacing w:line="360" w:lineRule="auto"/>
        <w:jc w:val="left"/>
        <w:rPr>
          <w:rFonts w:hint="eastAsia" w:ascii="宋体" w:hAnsi="宋体"/>
          <w:b/>
          <w:sz w:val="24"/>
        </w:rPr>
      </w:pPr>
      <w:r>
        <w:rPr>
          <w:rFonts w:hint="eastAsia" w:ascii="宋体" w:hAnsi="宋体"/>
          <w:b/>
          <w:sz w:val="24"/>
        </w:rPr>
        <w:t>一、合同内容</w:t>
      </w:r>
    </w:p>
    <w:p w14:paraId="0DC11758">
      <w:pPr>
        <w:spacing w:line="360" w:lineRule="auto"/>
        <w:ind w:firstLine="480" w:firstLineChars="200"/>
        <w:jc w:val="left"/>
        <w:rPr>
          <w:rFonts w:hint="eastAsia" w:ascii="宋体" w:hAnsi="宋体" w:eastAsia="宋体"/>
          <w:sz w:val="24"/>
        </w:rPr>
      </w:pPr>
      <w:r>
        <w:rPr>
          <w:rFonts w:hint="eastAsia" w:ascii="宋体" w:hAnsi="宋体"/>
          <w:sz w:val="24"/>
        </w:rPr>
        <w:t>（一）乙方负责按照合同及附件确定的设备名称、规格型号、数量、产地、配置内容及技术标准组织供货,确保所供设备为原厂全新合格产品，无任何质量瑕疵、功能缺陷及权利瑕疵。</w:t>
      </w:r>
    </w:p>
    <w:p w14:paraId="57BBB222">
      <w:pPr>
        <w:spacing w:line="360" w:lineRule="auto"/>
        <w:ind w:firstLine="480" w:firstLineChars="200"/>
        <w:jc w:val="left"/>
        <w:rPr>
          <w:rFonts w:hint="eastAsia" w:ascii="宋体" w:hAnsi="宋体"/>
          <w:sz w:val="24"/>
        </w:rPr>
      </w:pPr>
      <w:r>
        <w:rPr>
          <w:rFonts w:hint="eastAsia" w:ascii="宋体" w:hAnsi="宋体"/>
          <w:sz w:val="24"/>
        </w:rPr>
        <w:t>（二）乙方应在本合同约定的项目完工期内，将设备安全、无损运至甲方指定的交货地点，并承担运输过程中的全部风险（包括设备损坏、遗失、延误等）。</w:t>
      </w:r>
    </w:p>
    <w:p w14:paraId="3A0F6361">
      <w:pPr>
        <w:spacing w:line="360" w:lineRule="auto"/>
        <w:ind w:firstLine="480" w:firstLineChars="200"/>
        <w:jc w:val="left"/>
        <w:rPr>
          <w:rFonts w:hint="eastAsia" w:ascii="宋体" w:hAnsi="宋体"/>
          <w:sz w:val="24"/>
        </w:rPr>
      </w:pPr>
      <w:r>
        <w:rPr>
          <w:rFonts w:hint="eastAsia" w:ascii="宋体" w:hAnsi="宋体"/>
          <w:sz w:val="24"/>
        </w:rPr>
        <w:t>（三）负责设备到货后的安装及系统调试；确保系统所有设备各项指标达到要求，且能正常、稳定运行。</w:t>
      </w:r>
    </w:p>
    <w:p w14:paraId="24A964E6">
      <w:pPr>
        <w:spacing w:line="360" w:lineRule="auto"/>
        <w:ind w:firstLine="480" w:firstLineChars="200"/>
        <w:jc w:val="left"/>
        <w:rPr>
          <w:rFonts w:hint="eastAsia" w:ascii="宋体" w:hAnsi="宋体"/>
          <w:sz w:val="24"/>
        </w:rPr>
      </w:pPr>
      <w:r>
        <w:rPr>
          <w:rFonts w:hint="eastAsia" w:ascii="宋体" w:hAnsi="宋体"/>
          <w:sz w:val="24"/>
        </w:rPr>
        <w:t>（四）负责操作和管理人员的培训工作，培训内容应包括设备操作、日常维护、故障排查等，培训方式采用理论授课与实操教学相结合，保证甲方能够正常操作和维护。</w:t>
      </w:r>
    </w:p>
    <w:p w14:paraId="047171D8">
      <w:pPr>
        <w:spacing w:line="360" w:lineRule="auto"/>
        <w:ind w:firstLine="480" w:firstLineChars="200"/>
        <w:jc w:val="left"/>
        <w:rPr>
          <w:rFonts w:hint="eastAsia" w:ascii="宋体" w:hAnsi="宋体"/>
          <w:sz w:val="24"/>
        </w:rPr>
      </w:pPr>
      <w:r>
        <w:rPr>
          <w:rFonts w:hint="eastAsia" w:ascii="宋体" w:hAnsi="宋体"/>
          <w:sz w:val="24"/>
        </w:rPr>
        <w:t>（五）乙方根据设备的使用特性做好</w:t>
      </w:r>
      <w:r>
        <w:rPr>
          <w:rFonts w:hint="eastAsia" w:ascii="宋体" w:hAnsi="宋体"/>
          <w:sz w:val="24"/>
          <w:u w:val="single"/>
        </w:rPr>
        <w:t xml:space="preserve">    </w:t>
      </w:r>
      <w:r>
        <w:rPr>
          <w:rFonts w:hint="eastAsia" w:ascii="宋体" w:hAnsi="宋体"/>
          <w:sz w:val="24"/>
        </w:rPr>
        <w:t>年免费售后服务（自</w:t>
      </w:r>
      <w:r>
        <w:rPr>
          <w:rFonts w:hint="eastAsia" w:ascii="宋体" w:hAnsi="宋体"/>
          <w:sz w:val="24"/>
          <w:u w:val="single"/>
        </w:rPr>
        <w:t xml:space="preserve">         </w:t>
      </w:r>
      <w:r>
        <w:rPr>
          <w:rFonts w:hint="eastAsia" w:ascii="宋体" w:hAnsi="宋体"/>
          <w:sz w:val="24"/>
        </w:rPr>
        <w:t>之日起至</w:t>
      </w:r>
      <w:r>
        <w:rPr>
          <w:rFonts w:hint="eastAsia" w:ascii="宋体" w:hAnsi="宋体"/>
          <w:sz w:val="24"/>
          <w:u w:val="single"/>
        </w:rPr>
        <w:t xml:space="preserve">       </w:t>
      </w:r>
      <w:r>
        <w:rPr>
          <w:rFonts w:hint="eastAsia" w:ascii="宋体" w:hAnsi="宋体"/>
          <w:sz w:val="24"/>
        </w:rPr>
        <w:t>）。</w:t>
      </w:r>
    </w:p>
    <w:p w14:paraId="1155DA27">
      <w:pPr>
        <w:numPr>
          <w:ilvl w:val="0"/>
          <w:numId w:val="1"/>
        </w:numPr>
        <w:spacing w:line="360" w:lineRule="auto"/>
        <w:jc w:val="left"/>
        <w:rPr>
          <w:rFonts w:hint="eastAsia" w:ascii="宋体" w:hAnsi="宋体"/>
          <w:b/>
          <w:sz w:val="24"/>
        </w:rPr>
      </w:pPr>
      <w:r>
        <w:rPr>
          <w:rFonts w:hint="eastAsia" w:ascii="宋体" w:hAnsi="宋体"/>
          <w:b/>
          <w:sz w:val="24"/>
        </w:rPr>
        <w:t>合同价格</w:t>
      </w:r>
    </w:p>
    <w:p w14:paraId="06FAB4F8">
      <w:pPr>
        <w:spacing w:line="360" w:lineRule="auto"/>
        <w:ind w:firstLine="480" w:firstLineChars="200"/>
        <w:jc w:val="left"/>
        <w:rPr>
          <w:rFonts w:hint="eastAsia" w:ascii="宋体" w:hAnsi="宋体" w:eastAsia="宋体"/>
          <w:bCs/>
          <w:sz w:val="24"/>
        </w:rPr>
      </w:pPr>
      <w:r>
        <w:rPr>
          <w:rFonts w:hint="eastAsia" w:ascii="宋体" w:hAnsi="宋体"/>
          <w:bCs/>
          <w:sz w:val="24"/>
          <w:u w:val="single"/>
        </w:rPr>
        <w:t>本合同为固定单价合同，根据实际验收数量据实结算。</w:t>
      </w:r>
    </w:p>
    <w:p w14:paraId="2624DBEE">
      <w:pPr>
        <w:spacing w:line="360" w:lineRule="auto"/>
        <w:ind w:left="420" w:leftChars="200"/>
        <w:jc w:val="left"/>
        <w:rPr>
          <w:rFonts w:hint="eastAsia" w:ascii="宋体" w:hAnsi="宋体"/>
          <w:sz w:val="24"/>
        </w:rPr>
      </w:pPr>
      <w:r>
        <w:rPr>
          <w:rFonts w:hint="eastAsia" w:ascii="宋体" w:hAnsi="宋体"/>
          <w:sz w:val="24"/>
        </w:rPr>
        <w:t>合同单价明细：（与响应文件中分项报价表单价须保持一致）</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7"/>
        <w:gridCol w:w="1466"/>
        <w:gridCol w:w="951"/>
        <w:gridCol w:w="1413"/>
        <w:gridCol w:w="885"/>
        <w:gridCol w:w="1112"/>
        <w:gridCol w:w="965"/>
        <w:gridCol w:w="871"/>
        <w:gridCol w:w="871"/>
        <w:gridCol w:w="871"/>
      </w:tblGrid>
      <w:tr w14:paraId="4008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275" w:type="pct"/>
            <w:vAlign w:val="center"/>
          </w:tcPr>
          <w:p w14:paraId="344A2454">
            <w:pPr>
              <w:spacing w:line="360" w:lineRule="auto"/>
              <w:jc w:val="center"/>
              <w:rPr>
                <w:sz w:val="24"/>
              </w:rPr>
            </w:pPr>
            <w:r>
              <w:rPr>
                <w:rFonts w:hint="eastAsia"/>
                <w:sz w:val="24"/>
              </w:rPr>
              <w:t>序号</w:t>
            </w:r>
          </w:p>
        </w:tc>
        <w:tc>
          <w:tcPr>
            <w:tcW w:w="736" w:type="pct"/>
            <w:vAlign w:val="center"/>
          </w:tcPr>
          <w:p w14:paraId="5ED8CB63">
            <w:pPr>
              <w:spacing w:line="360" w:lineRule="auto"/>
              <w:jc w:val="center"/>
              <w:rPr>
                <w:sz w:val="24"/>
              </w:rPr>
            </w:pPr>
            <w:r>
              <w:rPr>
                <w:rFonts w:hint="eastAsia"/>
                <w:sz w:val="24"/>
              </w:rPr>
              <w:t>产品名称</w:t>
            </w:r>
          </w:p>
        </w:tc>
        <w:tc>
          <w:tcPr>
            <w:tcW w:w="477" w:type="pct"/>
            <w:vAlign w:val="center"/>
          </w:tcPr>
          <w:p w14:paraId="5F9392A0">
            <w:pPr>
              <w:spacing w:line="360" w:lineRule="auto"/>
              <w:jc w:val="center"/>
              <w:rPr>
                <w:sz w:val="24"/>
              </w:rPr>
            </w:pPr>
            <w:r>
              <w:rPr>
                <w:rFonts w:hint="eastAsia"/>
                <w:sz w:val="24"/>
              </w:rPr>
              <w:t>品牌</w:t>
            </w:r>
          </w:p>
        </w:tc>
        <w:tc>
          <w:tcPr>
            <w:tcW w:w="709" w:type="pct"/>
            <w:vAlign w:val="center"/>
          </w:tcPr>
          <w:p w14:paraId="2AD1C283">
            <w:pPr>
              <w:spacing w:line="360" w:lineRule="auto"/>
              <w:rPr>
                <w:sz w:val="24"/>
              </w:rPr>
            </w:pPr>
            <w:r>
              <w:rPr>
                <w:rFonts w:hint="eastAsia"/>
                <w:sz w:val="24"/>
              </w:rPr>
              <w:t>规格配置</w:t>
            </w:r>
          </w:p>
        </w:tc>
        <w:tc>
          <w:tcPr>
            <w:tcW w:w="444" w:type="pct"/>
            <w:vAlign w:val="center"/>
          </w:tcPr>
          <w:p w14:paraId="5AB35E85">
            <w:pPr>
              <w:spacing w:line="360" w:lineRule="auto"/>
              <w:jc w:val="center"/>
              <w:rPr>
                <w:sz w:val="24"/>
              </w:rPr>
            </w:pPr>
            <w:r>
              <w:rPr>
                <w:rFonts w:hint="eastAsia"/>
                <w:sz w:val="24"/>
              </w:rPr>
              <w:t>产地</w:t>
            </w:r>
          </w:p>
        </w:tc>
        <w:tc>
          <w:tcPr>
            <w:tcW w:w="558" w:type="pct"/>
            <w:vAlign w:val="center"/>
          </w:tcPr>
          <w:p w14:paraId="7BD4DC89">
            <w:pPr>
              <w:spacing w:line="360" w:lineRule="auto"/>
              <w:jc w:val="center"/>
              <w:rPr>
                <w:sz w:val="24"/>
              </w:rPr>
            </w:pPr>
            <w:r>
              <w:rPr>
                <w:rFonts w:hint="eastAsia"/>
                <w:sz w:val="24"/>
              </w:rPr>
              <w:t>制造商</w:t>
            </w:r>
          </w:p>
        </w:tc>
        <w:tc>
          <w:tcPr>
            <w:tcW w:w="484" w:type="pct"/>
            <w:vAlign w:val="center"/>
          </w:tcPr>
          <w:p w14:paraId="539F2191">
            <w:pPr>
              <w:spacing w:line="360" w:lineRule="auto"/>
              <w:jc w:val="center"/>
              <w:rPr>
                <w:sz w:val="24"/>
              </w:rPr>
            </w:pPr>
            <w:r>
              <w:rPr>
                <w:rFonts w:hint="eastAsia"/>
                <w:sz w:val="24"/>
              </w:rPr>
              <w:t>单位</w:t>
            </w:r>
          </w:p>
        </w:tc>
        <w:tc>
          <w:tcPr>
            <w:tcW w:w="437" w:type="pct"/>
            <w:vAlign w:val="center"/>
          </w:tcPr>
          <w:p w14:paraId="60C973A2">
            <w:pPr>
              <w:spacing w:line="360" w:lineRule="auto"/>
              <w:jc w:val="center"/>
              <w:rPr>
                <w:sz w:val="24"/>
              </w:rPr>
            </w:pPr>
            <w:r>
              <w:rPr>
                <w:rFonts w:hint="eastAsia"/>
                <w:sz w:val="24"/>
              </w:rPr>
              <w:t>单价</w:t>
            </w:r>
            <w:r>
              <w:rPr>
                <w:rFonts w:hAnsi="宋体"/>
                <w:sz w:val="24"/>
              </w:rPr>
              <w:t>(</w:t>
            </w:r>
            <w:r>
              <w:rPr>
                <w:rFonts w:hint="eastAsia" w:hAnsi="宋体"/>
                <w:sz w:val="24"/>
              </w:rPr>
              <w:t>元</w:t>
            </w:r>
            <w:r>
              <w:rPr>
                <w:rFonts w:hAnsi="宋体"/>
                <w:sz w:val="24"/>
              </w:rPr>
              <w:t>)</w:t>
            </w:r>
          </w:p>
        </w:tc>
        <w:tc>
          <w:tcPr>
            <w:tcW w:w="437" w:type="pct"/>
            <w:vAlign w:val="center"/>
          </w:tcPr>
          <w:p w14:paraId="02EC4C83">
            <w:pPr>
              <w:spacing w:line="360" w:lineRule="auto"/>
              <w:jc w:val="center"/>
              <w:rPr>
                <w:sz w:val="24"/>
              </w:rPr>
            </w:pPr>
            <w:r>
              <w:rPr>
                <w:rFonts w:hint="eastAsia"/>
                <w:sz w:val="24"/>
              </w:rPr>
              <w:t>数量</w:t>
            </w:r>
          </w:p>
        </w:tc>
        <w:tc>
          <w:tcPr>
            <w:tcW w:w="437" w:type="pct"/>
            <w:vAlign w:val="center"/>
          </w:tcPr>
          <w:p w14:paraId="115ED31B">
            <w:pPr>
              <w:spacing w:line="360" w:lineRule="auto"/>
              <w:jc w:val="center"/>
              <w:rPr>
                <w:sz w:val="24"/>
              </w:rPr>
            </w:pPr>
            <w:r>
              <w:rPr>
                <w:rFonts w:hint="eastAsia"/>
                <w:sz w:val="24"/>
              </w:rPr>
              <w:t>总价</w:t>
            </w:r>
          </w:p>
        </w:tc>
      </w:tr>
      <w:tr w14:paraId="17BE3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75" w:type="pct"/>
            <w:vAlign w:val="center"/>
          </w:tcPr>
          <w:p w14:paraId="420D642B">
            <w:pPr>
              <w:spacing w:line="360" w:lineRule="auto"/>
              <w:jc w:val="center"/>
              <w:rPr>
                <w:rFonts w:hint="eastAsia" w:ascii="宋体" w:hAnsi="宋体"/>
                <w:sz w:val="24"/>
              </w:rPr>
            </w:pPr>
            <w:r>
              <w:rPr>
                <w:rFonts w:hint="eastAsia" w:ascii="宋体" w:hAnsi="宋体"/>
                <w:sz w:val="24"/>
              </w:rPr>
              <w:t>1</w:t>
            </w:r>
          </w:p>
        </w:tc>
        <w:tc>
          <w:tcPr>
            <w:tcW w:w="736" w:type="pct"/>
            <w:vAlign w:val="center"/>
          </w:tcPr>
          <w:p w14:paraId="5A75C5A0">
            <w:pPr>
              <w:spacing w:line="360" w:lineRule="auto"/>
              <w:jc w:val="center"/>
              <w:rPr>
                <w:rFonts w:hint="eastAsia" w:ascii="宋体" w:hAnsi="宋体"/>
                <w:sz w:val="24"/>
              </w:rPr>
            </w:pPr>
          </w:p>
        </w:tc>
        <w:tc>
          <w:tcPr>
            <w:tcW w:w="477" w:type="pct"/>
            <w:vAlign w:val="center"/>
          </w:tcPr>
          <w:p w14:paraId="3F6DC8E7">
            <w:pPr>
              <w:spacing w:line="360" w:lineRule="auto"/>
              <w:jc w:val="center"/>
              <w:rPr>
                <w:rFonts w:hint="eastAsia" w:ascii="宋体" w:hAnsi="宋体"/>
                <w:sz w:val="24"/>
              </w:rPr>
            </w:pPr>
          </w:p>
        </w:tc>
        <w:tc>
          <w:tcPr>
            <w:tcW w:w="709" w:type="pct"/>
            <w:vAlign w:val="center"/>
          </w:tcPr>
          <w:p w14:paraId="1F473E3E">
            <w:pPr>
              <w:spacing w:line="360" w:lineRule="auto"/>
              <w:jc w:val="center"/>
              <w:rPr>
                <w:rFonts w:hint="eastAsia" w:ascii="宋体" w:hAnsi="宋体"/>
                <w:sz w:val="24"/>
              </w:rPr>
            </w:pPr>
          </w:p>
        </w:tc>
        <w:tc>
          <w:tcPr>
            <w:tcW w:w="444" w:type="pct"/>
            <w:vAlign w:val="center"/>
          </w:tcPr>
          <w:p w14:paraId="55CB24DD">
            <w:pPr>
              <w:pStyle w:val="6"/>
              <w:spacing w:line="360" w:lineRule="auto"/>
              <w:rPr>
                <w:rFonts w:hint="eastAsia" w:hAnsi="宋体"/>
                <w:sz w:val="24"/>
                <w:szCs w:val="24"/>
              </w:rPr>
            </w:pPr>
          </w:p>
        </w:tc>
        <w:tc>
          <w:tcPr>
            <w:tcW w:w="558" w:type="pct"/>
            <w:vAlign w:val="center"/>
          </w:tcPr>
          <w:p w14:paraId="79F69C4A">
            <w:pPr>
              <w:pStyle w:val="6"/>
              <w:spacing w:line="360" w:lineRule="auto"/>
              <w:rPr>
                <w:rFonts w:hint="eastAsia" w:hAnsi="宋体"/>
                <w:sz w:val="24"/>
                <w:szCs w:val="24"/>
              </w:rPr>
            </w:pPr>
          </w:p>
        </w:tc>
        <w:tc>
          <w:tcPr>
            <w:tcW w:w="484" w:type="pct"/>
            <w:vAlign w:val="center"/>
          </w:tcPr>
          <w:p w14:paraId="53C82289">
            <w:pPr>
              <w:pStyle w:val="6"/>
              <w:spacing w:line="360" w:lineRule="auto"/>
              <w:rPr>
                <w:rFonts w:hint="eastAsia" w:hAnsi="宋体"/>
                <w:sz w:val="24"/>
                <w:szCs w:val="24"/>
              </w:rPr>
            </w:pPr>
          </w:p>
        </w:tc>
        <w:tc>
          <w:tcPr>
            <w:tcW w:w="437" w:type="pct"/>
            <w:vAlign w:val="center"/>
          </w:tcPr>
          <w:p w14:paraId="03C7DAC8">
            <w:pPr>
              <w:pStyle w:val="6"/>
              <w:spacing w:line="360" w:lineRule="auto"/>
              <w:rPr>
                <w:rFonts w:hint="eastAsia" w:hAnsi="宋体"/>
                <w:sz w:val="24"/>
                <w:szCs w:val="24"/>
              </w:rPr>
            </w:pPr>
          </w:p>
        </w:tc>
        <w:tc>
          <w:tcPr>
            <w:tcW w:w="437" w:type="pct"/>
            <w:vAlign w:val="center"/>
          </w:tcPr>
          <w:p w14:paraId="1A92000C">
            <w:pPr>
              <w:pStyle w:val="6"/>
              <w:spacing w:line="360" w:lineRule="auto"/>
              <w:rPr>
                <w:rFonts w:hint="eastAsia" w:hAnsi="宋体"/>
                <w:sz w:val="24"/>
                <w:szCs w:val="24"/>
              </w:rPr>
            </w:pPr>
          </w:p>
        </w:tc>
        <w:tc>
          <w:tcPr>
            <w:tcW w:w="437" w:type="pct"/>
            <w:vAlign w:val="center"/>
          </w:tcPr>
          <w:p w14:paraId="0D9E5E8E">
            <w:pPr>
              <w:pStyle w:val="6"/>
              <w:spacing w:line="360" w:lineRule="auto"/>
              <w:rPr>
                <w:rFonts w:hint="eastAsia" w:hAnsi="宋体"/>
                <w:sz w:val="24"/>
                <w:szCs w:val="24"/>
              </w:rPr>
            </w:pPr>
          </w:p>
        </w:tc>
      </w:tr>
      <w:tr w14:paraId="59E53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75" w:type="pct"/>
            <w:vAlign w:val="center"/>
          </w:tcPr>
          <w:p w14:paraId="11A7BCAA">
            <w:pPr>
              <w:spacing w:line="360" w:lineRule="auto"/>
              <w:jc w:val="center"/>
              <w:rPr>
                <w:rFonts w:hint="eastAsia" w:ascii="宋体" w:hAnsi="宋体"/>
                <w:sz w:val="24"/>
              </w:rPr>
            </w:pPr>
            <w:r>
              <w:rPr>
                <w:rFonts w:hint="eastAsia" w:ascii="宋体" w:hAnsi="宋体"/>
                <w:sz w:val="24"/>
              </w:rPr>
              <w:t>…</w:t>
            </w:r>
          </w:p>
        </w:tc>
        <w:tc>
          <w:tcPr>
            <w:tcW w:w="736" w:type="pct"/>
            <w:vAlign w:val="center"/>
          </w:tcPr>
          <w:p w14:paraId="60D633C3">
            <w:pPr>
              <w:spacing w:line="360" w:lineRule="auto"/>
              <w:jc w:val="center"/>
              <w:rPr>
                <w:rFonts w:hint="eastAsia" w:ascii="宋体" w:hAnsi="宋体"/>
                <w:sz w:val="24"/>
              </w:rPr>
            </w:pPr>
          </w:p>
        </w:tc>
        <w:tc>
          <w:tcPr>
            <w:tcW w:w="477" w:type="pct"/>
            <w:vAlign w:val="center"/>
          </w:tcPr>
          <w:p w14:paraId="7A9F09C6">
            <w:pPr>
              <w:spacing w:line="360" w:lineRule="auto"/>
              <w:jc w:val="center"/>
              <w:rPr>
                <w:rFonts w:hint="eastAsia" w:ascii="宋体" w:hAnsi="宋体"/>
                <w:sz w:val="24"/>
              </w:rPr>
            </w:pPr>
          </w:p>
        </w:tc>
        <w:tc>
          <w:tcPr>
            <w:tcW w:w="709" w:type="pct"/>
            <w:vAlign w:val="center"/>
          </w:tcPr>
          <w:p w14:paraId="22DD896F">
            <w:pPr>
              <w:spacing w:line="360" w:lineRule="auto"/>
              <w:jc w:val="center"/>
              <w:rPr>
                <w:rFonts w:hint="eastAsia" w:ascii="宋体" w:hAnsi="宋体"/>
                <w:sz w:val="24"/>
              </w:rPr>
            </w:pPr>
          </w:p>
        </w:tc>
        <w:tc>
          <w:tcPr>
            <w:tcW w:w="444" w:type="pct"/>
            <w:vAlign w:val="center"/>
          </w:tcPr>
          <w:p w14:paraId="47E9703A">
            <w:pPr>
              <w:pStyle w:val="6"/>
              <w:spacing w:line="360" w:lineRule="auto"/>
              <w:rPr>
                <w:rFonts w:hint="eastAsia" w:hAnsi="宋体"/>
                <w:sz w:val="24"/>
                <w:szCs w:val="24"/>
              </w:rPr>
            </w:pPr>
          </w:p>
        </w:tc>
        <w:tc>
          <w:tcPr>
            <w:tcW w:w="558" w:type="pct"/>
            <w:vAlign w:val="center"/>
          </w:tcPr>
          <w:p w14:paraId="171E8861">
            <w:pPr>
              <w:pStyle w:val="6"/>
              <w:spacing w:line="360" w:lineRule="auto"/>
              <w:rPr>
                <w:rFonts w:hint="eastAsia" w:hAnsi="宋体"/>
                <w:sz w:val="24"/>
                <w:szCs w:val="24"/>
              </w:rPr>
            </w:pPr>
          </w:p>
        </w:tc>
        <w:tc>
          <w:tcPr>
            <w:tcW w:w="484" w:type="pct"/>
            <w:vAlign w:val="center"/>
          </w:tcPr>
          <w:p w14:paraId="07FCF9E6">
            <w:pPr>
              <w:pStyle w:val="6"/>
              <w:spacing w:line="360" w:lineRule="auto"/>
              <w:rPr>
                <w:rFonts w:hint="eastAsia" w:hAnsi="宋体"/>
                <w:sz w:val="24"/>
                <w:szCs w:val="24"/>
              </w:rPr>
            </w:pPr>
          </w:p>
        </w:tc>
        <w:tc>
          <w:tcPr>
            <w:tcW w:w="437" w:type="pct"/>
            <w:vAlign w:val="center"/>
          </w:tcPr>
          <w:p w14:paraId="2FD18AD7">
            <w:pPr>
              <w:pStyle w:val="6"/>
              <w:spacing w:line="360" w:lineRule="auto"/>
              <w:rPr>
                <w:rFonts w:hint="eastAsia" w:hAnsi="宋体"/>
                <w:sz w:val="24"/>
                <w:szCs w:val="24"/>
              </w:rPr>
            </w:pPr>
          </w:p>
        </w:tc>
        <w:tc>
          <w:tcPr>
            <w:tcW w:w="437" w:type="pct"/>
            <w:vAlign w:val="center"/>
          </w:tcPr>
          <w:p w14:paraId="065E4A0E">
            <w:pPr>
              <w:pStyle w:val="6"/>
              <w:spacing w:line="360" w:lineRule="auto"/>
              <w:rPr>
                <w:rFonts w:hint="eastAsia" w:hAnsi="宋体"/>
                <w:sz w:val="24"/>
                <w:szCs w:val="24"/>
              </w:rPr>
            </w:pPr>
          </w:p>
        </w:tc>
        <w:tc>
          <w:tcPr>
            <w:tcW w:w="437" w:type="pct"/>
            <w:vAlign w:val="center"/>
          </w:tcPr>
          <w:p w14:paraId="2FC3D5BE">
            <w:pPr>
              <w:pStyle w:val="6"/>
              <w:spacing w:line="360" w:lineRule="auto"/>
              <w:rPr>
                <w:rFonts w:hint="eastAsia" w:hAnsi="宋体"/>
                <w:sz w:val="24"/>
                <w:szCs w:val="24"/>
              </w:rPr>
            </w:pPr>
          </w:p>
        </w:tc>
      </w:tr>
      <w:tr w14:paraId="5C87B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75" w:type="pct"/>
            <w:vAlign w:val="center"/>
          </w:tcPr>
          <w:p w14:paraId="5A391B26">
            <w:pPr>
              <w:spacing w:line="360" w:lineRule="auto"/>
              <w:jc w:val="center"/>
              <w:rPr>
                <w:rFonts w:hint="eastAsia" w:ascii="宋体" w:hAnsi="宋体"/>
                <w:sz w:val="24"/>
              </w:rPr>
            </w:pPr>
            <w:r>
              <w:rPr>
                <w:rFonts w:ascii="宋体" w:hAnsi="宋体"/>
                <w:sz w:val="24"/>
              </w:rPr>
              <w:t>N</w:t>
            </w:r>
          </w:p>
        </w:tc>
        <w:tc>
          <w:tcPr>
            <w:tcW w:w="736" w:type="pct"/>
            <w:vAlign w:val="center"/>
          </w:tcPr>
          <w:p w14:paraId="27820364">
            <w:pPr>
              <w:spacing w:line="360" w:lineRule="auto"/>
              <w:jc w:val="center"/>
              <w:rPr>
                <w:rFonts w:hint="eastAsia" w:ascii="宋体" w:hAnsi="宋体"/>
                <w:sz w:val="24"/>
              </w:rPr>
            </w:pPr>
          </w:p>
        </w:tc>
        <w:tc>
          <w:tcPr>
            <w:tcW w:w="477" w:type="pct"/>
            <w:vAlign w:val="center"/>
          </w:tcPr>
          <w:p w14:paraId="085A338D">
            <w:pPr>
              <w:spacing w:line="360" w:lineRule="auto"/>
              <w:jc w:val="center"/>
              <w:rPr>
                <w:rFonts w:hint="eastAsia" w:ascii="宋体" w:hAnsi="宋体"/>
                <w:sz w:val="24"/>
              </w:rPr>
            </w:pPr>
          </w:p>
        </w:tc>
        <w:tc>
          <w:tcPr>
            <w:tcW w:w="709" w:type="pct"/>
            <w:vAlign w:val="center"/>
          </w:tcPr>
          <w:p w14:paraId="2AE2F194">
            <w:pPr>
              <w:spacing w:line="360" w:lineRule="auto"/>
              <w:jc w:val="center"/>
              <w:rPr>
                <w:rFonts w:hint="eastAsia" w:ascii="宋体" w:hAnsi="宋体"/>
                <w:sz w:val="24"/>
              </w:rPr>
            </w:pPr>
          </w:p>
        </w:tc>
        <w:tc>
          <w:tcPr>
            <w:tcW w:w="444" w:type="pct"/>
            <w:vAlign w:val="center"/>
          </w:tcPr>
          <w:p w14:paraId="5893EDE6">
            <w:pPr>
              <w:pStyle w:val="6"/>
              <w:spacing w:line="360" w:lineRule="auto"/>
              <w:rPr>
                <w:rFonts w:hint="eastAsia" w:hAnsi="宋体"/>
                <w:sz w:val="24"/>
                <w:szCs w:val="24"/>
              </w:rPr>
            </w:pPr>
          </w:p>
        </w:tc>
        <w:tc>
          <w:tcPr>
            <w:tcW w:w="558" w:type="pct"/>
            <w:vAlign w:val="center"/>
          </w:tcPr>
          <w:p w14:paraId="5DCEFC58">
            <w:pPr>
              <w:pStyle w:val="6"/>
              <w:spacing w:line="360" w:lineRule="auto"/>
              <w:rPr>
                <w:rFonts w:hint="eastAsia" w:hAnsi="宋体"/>
                <w:sz w:val="24"/>
                <w:szCs w:val="24"/>
              </w:rPr>
            </w:pPr>
          </w:p>
        </w:tc>
        <w:tc>
          <w:tcPr>
            <w:tcW w:w="484" w:type="pct"/>
            <w:vAlign w:val="center"/>
          </w:tcPr>
          <w:p w14:paraId="5F1D5B47">
            <w:pPr>
              <w:pStyle w:val="6"/>
              <w:spacing w:line="360" w:lineRule="auto"/>
              <w:rPr>
                <w:rFonts w:hint="eastAsia" w:hAnsi="宋体"/>
                <w:sz w:val="24"/>
                <w:szCs w:val="24"/>
              </w:rPr>
            </w:pPr>
          </w:p>
        </w:tc>
        <w:tc>
          <w:tcPr>
            <w:tcW w:w="437" w:type="pct"/>
            <w:vAlign w:val="center"/>
          </w:tcPr>
          <w:p w14:paraId="6F009309">
            <w:pPr>
              <w:pStyle w:val="6"/>
              <w:spacing w:line="360" w:lineRule="auto"/>
              <w:rPr>
                <w:rFonts w:hint="eastAsia" w:hAnsi="宋体"/>
                <w:sz w:val="24"/>
                <w:szCs w:val="24"/>
              </w:rPr>
            </w:pPr>
          </w:p>
        </w:tc>
        <w:tc>
          <w:tcPr>
            <w:tcW w:w="437" w:type="pct"/>
            <w:vAlign w:val="center"/>
          </w:tcPr>
          <w:p w14:paraId="37882C92">
            <w:pPr>
              <w:pStyle w:val="6"/>
              <w:spacing w:line="360" w:lineRule="auto"/>
              <w:rPr>
                <w:rFonts w:hint="eastAsia" w:hAnsi="宋体"/>
                <w:sz w:val="24"/>
                <w:szCs w:val="24"/>
              </w:rPr>
            </w:pPr>
          </w:p>
        </w:tc>
        <w:tc>
          <w:tcPr>
            <w:tcW w:w="437" w:type="pct"/>
            <w:vAlign w:val="center"/>
          </w:tcPr>
          <w:p w14:paraId="22EB58AA">
            <w:pPr>
              <w:pStyle w:val="6"/>
              <w:spacing w:line="360" w:lineRule="auto"/>
              <w:rPr>
                <w:rFonts w:hint="eastAsia" w:hAnsi="宋体"/>
                <w:sz w:val="24"/>
                <w:szCs w:val="24"/>
              </w:rPr>
            </w:pPr>
          </w:p>
        </w:tc>
      </w:tr>
    </w:tbl>
    <w:p w14:paraId="7C0B4E79">
      <w:pPr>
        <w:spacing w:line="360" w:lineRule="auto"/>
        <w:ind w:left="420" w:leftChars="200"/>
        <w:jc w:val="left"/>
        <w:rPr>
          <w:rFonts w:hint="eastAsia" w:ascii="宋体" w:hAnsi="宋体"/>
          <w:sz w:val="24"/>
        </w:rPr>
      </w:pPr>
    </w:p>
    <w:p w14:paraId="688F0BB8">
      <w:pPr>
        <w:spacing w:line="360" w:lineRule="auto"/>
        <w:jc w:val="left"/>
        <w:rPr>
          <w:rFonts w:hint="eastAsia" w:ascii="宋体" w:hAnsi="宋体"/>
          <w:sz w:val="24"/>
        </w:rPr>
      </w:pPr>
      <w:r>
        <w:rPr>
          <w:rFonts w:hint="eastAsia" w:ascii="宋体" w:hAnsi="宋体"/>
          <w:sz w:val="24"/>
        </w:rPr>
        <w:t>说明：</w:t>
      </w:r>
    </w:p>
    <w:p w14:paraId="04EEAF66">
      <w:pPr>
        <w:numPr>
          <w:ilvl w:val="0"/>
          <w:numId w:val="2"/>
        </w:numPr>
        <w:spacing w:line="360" w:lineRule="auto"/>
        <w:ind w:firstLine="480" w:firstLineChars="200"/>
        <w:jc w:val="left"/>
        <w:rPr>
          <w:rFonts w:hint="eastAsia" w:ascii="宋体" w:hAnsi="宋体"/>
          <w:sz w:val="24"/>
        </w:rPr>
      </w:pPr>
      <w:r>
        <w:rPr>
          <w:rFonts w:hint="eastAsia" w:ascii="宋体" w:hAnsi="宋体"/>
          <w:sz w:val="24"/>
        </w:rPr>
        <w:t>单价包含每台设备费、设备到达交货地点的运杂费（含保险）、设备安装调试费、设备强制计量检测费及应缴纳的全部税款等费用，甲方无需额外支付任何费用。</w:t>
      </w:r>
    </w:p>
    <w:p w14:paraId="27626DE4">
      <w:pPr>
        <w:pStyle w:val="4"/>
        <w:numPr>
          <w:ilvl w:val="0"/>
          <w:numId w:val="2"/>
        </w:numPr>
        <w:spacing w:line="360" w:lineRule="auto"/>
        <w:ind w:left="0" w:leftChars="0" w:firstLine="480" w:firstLineChars="200"/>
        <w:rPr>
          <w:rFonts w:hint="eastAsia" w:ascii="宋体" w:hAnsi="宋体"/>
          <w:sz w:val="24"/>
        </w:rPr>
      </w:pPr>
      <w:r>
        <w:rPr>
          <w:rFonts w:hint="eastAsia" w:ascii="宋体" w:hAnsi="宋体"/>
          <w:sz w:val="24"/>
        </w:rPr>
        <w:t>本项目结算依据为中标供货单位报价明细中的报价单价及甲方、乙方共同签字确认的实际采购验收合格数量。乙方应在最终验收合格后10日内，向甲方提交完整的结算申请材料（含结算报告、验收报告、供货清单、发票复印件等），甲方在收到材料后5日内完成审核，审核通过后作为结算依据。</w:t>
      </w:r>
    </w:p>
    <w:p w14:paraId="362A96A8">
      <w:pPr>
        <w:pStyle w:val="4"/>
        <w:numPr>
          <w:ilvl w:val="0"/>
          <w:numId w:val="2"/>
        </w:numPr>
        <w:spacing w:line="360" w:lineRule="auto"/>
        <w:ind w:left="0" w:leftChars="0" w:firstLine="480" w:firstLineChars="200"/>
        <w:rPr>
          <w:rFonts w:hint="eastAsia" w:ascii="宋体" w:hAnsi="宋体"/>
          <w:sz w:val="24"/>
        </w:rPr>
      </w:pPr>
      <w:r>
        <w:rPr>
          <w:rFonts w:hint="eastAsia" w:ascii="宋体" w:hAnsi="宋体"/>
          <w:sz w:val="24"/>
        </w:rPr>
        <w:t>根据预估的采购量乘以分项报价表中列明的所投产品单价，其合计金额应不超过66万元，且该部分内容最终按实际采购数量和投标单价进行据实结算，结算总金额亦不超过66万元。若在实施过程中出现新增或增项内容，可通过签订补充合同的形式予以体现，最终总体结算金额不超过预算价70万元。</w:t>
      </w:r>
    </w:p>
    <w:p w14:paraId="40BB1AF0">
      <w:pPr>
        <w:spacing w:line="360" w:lineRule="auto"/>
        <w:jc w:val="left"/>
        <w:rPr>
          <w:rFonts w:hint="eastAsia" w:ascii="宋体" w:hAnsi="宋体"/>
          <w:b/>
          <w:sz w:val="24"/>
        </w:rPr>
      </w:pPr>
      <w:r>
        <w:rPr>
          <w:rFonts w:hint="eastAsia" w:ascii="宋体" w:hAnsi="宋体"/>
          <w:b/>
          <w:sz w:val="24"/>
        </w:rPr>
        <w:t>三、合同款项支付</w:t>
      </w:r>
    </w:p>
    <w:p w14:paraId="1B5FA00E">
      <w:pPr>
        <w:spacing w:line="360" w:lineRule="auto"/>
        <w:ind w:firstLine="360" w:firstLineChars="150"/>
        <w:jc w:val="left"/>
        <w:rPr>
          <w:rFonts w:hint="eastAsia" w:ascii="宋体" w:hAnsi="宋体"/>
          <w:sz w:val="24"/>
        </w:rPr>
      </w:pPr>
      <w:r>
        <w:rPr>
          <w:rFonts w:hint="eastAsia" w:ascii="宋体" w:hAnsi="宋体"/>
          <w:sz w:val="24"/>
        </w:rPr>
        <w:t>1、结算单位：采购人结算，在付款前，供货单位必须开具合法、有效的等额发票给采购人，发票不符合要求的，采购人有权拒绝付款，且不承担逾期付款责任。</w:t>
      </w:r>
    </w:p>
    <w:p w14:paraId="0C70925E">
      <w:pPr>
        <w:spacing w:line="360" w:lineRule="auto"/>
        <w:ind w:firstLine="360" w:firstLineChars="150"/>
        <w:jc w:val="left"/>
        <w:rPr>
          <w:rFonts w:hint="eastAsia" w:ascii="宋体" w:hAnsi="宋体"/>
          <w:sz w:val="24"/>
        </w:rPr>
      </w:pPr>
      <w:r>
        <w:rPr>
          <w:rFonts w:hint="eastAsia" w:ascii="宋体" w:hAnsi="宋体"/>
          <w:sz w:val="24"/>
        </w:rPr>
        <w:t>2、付款方式：</w:t>
      </w:r>
    </w:p>
    <w:p w14:paraId="5EE9BB23">
      <w:pPr>
        <w:spacing w:line="360" w:lineRule="auto"/>
        <w:ind w:firstLine="480" w:firstLineChars="200"/>
        <w:jc w:val="left"/>
        <w:rPr>
          <w:rFonts w:hint="eastAsia" w:ascii="宋体" w:hAnsi="宋体" w:cs="宋体"/>
          <w:sz w:val="24"/>
        </w:rPr>
      </w:pPr>
      <w:r>
        <w:rPr>
          <w:rFonts w:hint="eastAsia" w:ascii="宋体" w:hAnsi="宋体"/>
          <w:sz w:val="24"/>
        </w:rPr>
        <w:t>（1）</w:t>
      </w:r>
      <w:r>
        <w:rPr>
          <w:rFonts w:hint="eastAsia" w:ascii="宋体" w:hAnsi="宋体" w:cs="宋体"/>
          <w:sz w:val="24"/>
        </w:rPr>
        <w:t>合同签订后，向区农业局及区财政局申报合同价30.00%作为预付款。</w:t>
      </w:r>
    </w:p>
    <w:p w14:paraId="0C545F07">
      <w:pPr>
        <w:spacing w:line="360" w:lineRule="auto"/>
        <w:ind w:firstLine="480" w:firstLineChars="200"/>
        <w:jc w:val="left"/>
        <w:rPr>
          <w:rFonts w:hint="eastAsia" w:ascii="宋体" w:hAnsi="宋体" w:cs="宋体"/>
          <w:sz w:val="24"/>
        </w:rPr>
      </w:pPr>
      <w:r>
        <w:rPr>
          <w:rFonts w:hint="eastAsia" w:ascii="宋体" w:hAnsi="宋体" w:cs="宋体"/>
          <w:sz w:val="24"/>
        </w:rPr>
        <w:t>（2）设备全部到场并经双方验收合格后，向区农业局及区财政局申报合同价60.00%款项。</w:t>
      </w:r>
    </w:p>
    <w:p w14:paraId="1FCCEC7A">
      <w:pPr>
        <w:spacing w:line="360" w:lineRule="auto"/>
        <w:ind w:firstLine="480" w:firstLineChars="200"/>
        <w:jc w:val="left"/>
        <w:rPr>
          <w:rFonts w:hint="eastAsia" w:ascii="宋体" w:hAnsi="宋体" w:cs="宋体"/>
          <w:sz w:val="24"/>
        </w:rPr>
      </w:pPr>
      <w:r>
        <w:rPr>
          <w:rFonts w:hint="eastAsia" w:ascii="宋体" w:hAnsi="宋体" w:cs="宋体"/>
          <w:sz w:val="24"/>
        </w:rPr>
        <w:t>（3）设备</w:t>
      </w:r>
      <w:r>
        <w:rPr>
          <w:rFonts w:ascii="宋体" w:hAnsi="宋体" w:cs="宋体"/>
          <w:sz w:val="24"/>
        </w:rPr>
        <w:t>全部安装完成并经最终验收</w:t>
      </w:r>
      <w:r>
        <w:rPr>
          <w:rFonts w:hint="eastAsia" w:ascii="宋体" w:hAnsi="宋体" w:cs="宋体"/>
          <w:sz w:val="24"/>
        </w:rPr>
        <w:t>后，向区农业局及区财政局申报结算金额90%款</w:t>
      </w:r>
      <w:r>
        <w:rPr>
          <w:rFonts w:hint="eastAsia" w:ascii="宋体" w:hAnsi="宋体" w:cs="宋体"/>
          <w:sz w:val="24"/>
          <w:lang w:val="en-US" w:eastAsia="zh-CN"/>
        </w:rPr>
        <w:t>项</w:t>
      </w:r>
      <w:bookmarkStart w:id="0" w:name="_GoBack"/>
      <w:bookmarkEnd w:id="0"/>
      <w:r>
        <w:rPr>
          <w:rFonts w:hint="eastAsia" w:ascii="宋体" w:hAnsi="宋体" w:cs="宋体"/>
          <w:sz w:val="24"/>
        </w:rPr>
        <w:t>。</w:t>
      </w:r>
    </w:p>
    <w:p w14:paraId="258BD79B">
      <w:pPr>
        <w:spacing w:line="360" w:lineRule="auto"/>
        <w:ind w:left="120" w:leftChars="57" w:firstLine="360" w:firstLineChars="150"/>
        <w:jc w:val="left"/>
        <w:rPr>
          <w:rFonts w:hint="eastAsia" w:ascii="宋体" w:hAnsi="宋体" w:cs="宋体"/>
          <w:sz w:val="24"/>
        </w:rPr>
      </w:pPr>
      <w:r>
        <w:rPr>
          <w:rFonts w:hint="eastAsia" w:ascii="宋体" w:hAnsi="宋体" w:cs="宋体"/>
          <w:sz w:val="24"/>
        </w:rPr>
        <w:t>（4）设备验收后三个月，向区农业局及区财政局申报结算金额剩余10%款项。</w:t>
      </w:r>
    </w:p>
    <w:p w14:paraId="08DEFD7C">
      <w:pPr>
        <w:spacing w:line="360" w:lineRule="auto"/>
        <w:ind w:firstLine="480" w:firstLineChars="200"/>
        <w:jc w:val="left"/>
      </w:pPr>
      <w:r>
        <w:rPr>
          <w:rFonts w:hint="eastAsia" w:ascii="宋体" w:hAnsi="宋体" w:cs="宋体"/>
          <w:sz w:val="24"/>
        </w:rPr>
        <w:t>（5）</w:t>
      </w:r>
      <w:r>
        <w:rPr>
          <w:rFonts w:hint="eastAsia" w:ascii="宋体" w:hAnsi="宋体"/>
          <w:sz w:val="24"/>
        </w:rPr>
        <w:t>款项实际支付时间以长安区财政局最终拨付日期为准，若因财政局审核流程或资金安排导致拨款延误，不视为采购人违约。</w:t>
      </w:r>
    </w:p>
    <w:p w14:paraId="47F8ABEF">
      <w:pPr>
        <w:spacing w:line="360" w:lineRule="auto"/>
        <w:jc w:val="left"/>
        <w:rPr>
          <w:rFonts w:hint="eastAsia" w:ascii="宋体" w:hAnsi="宋体"/>
          <w:b/>
          <w:sz w:val="24"/>
        </w:rPr>
      </w:pPr>
      <w:r>
        <w:rPr>
          <w:rFonts w:hint="eastAsia" w:ascii="宋体" w:hAnsi="宋体"/>
          <w:b/>
          <w:sz w:val="24"/>
        </w:rPr>
        <w:t>四、交货条件</w:t>
      </w:r>
    </w:p>
    <w:p w14:paraId="512BAB9B">
      <w:pPr>
        <w:spacing w:line="360" w:lineRule="auto"/>
        <w:ind w:firstLine="480" w:firstLineChars="200"/>
        <w:jc w:val="left"/>
        <w:rPr>
          <w:rFonts w:hint="eastAsia" w:ascii="宋体" w:hAnsi="宋体"/>
          <w:sz w:val="24"/>
          <w:highlight w:val="yellow"/>
        </w:rPr>
      </w:pPr>
      <w:r>
        <w:rPr>
          <w:rFonts w:hint="eastAsia" w:ascii="宋体" w:hAnsi="宋体"/>
          <w:sz w:val="24"/>
        </w:rPr>
        <w:t>（一）项目</w:t>
      </w:r>
      <w:r>
        <w:rPr>
          <w:rFonts w:ascii="宋体" w:hAnsi="宋体"/>
          <w:sz w:val="24"/>
        </w:rPr>
        <w:t>实施地点</w:t>
      </w:r>
      <w:r>
        <w:rPr>
          <w:rFonts w:hint="eastAsia" w:ascii="宋体" w:hAnsi="宋体"/>
          <w:sz w:val="24"/>
        </w:rPr>
        <w:t>：长安区杨庄街道</w:t>
      </w:r>
      <w:r>
        <w:rPr>
          <w:rFonts w:hint="eastAsia" w:ascii="宋体" w:hAnsi="宋体"/>
          <w:sz w:val="24"/>
          <w:u w:val="single"/>
        </w:rPr>
        <w:t xml:space="preserve">        </w:t>
      </w:r>
      <w:r>
        <w:rPr>
          <w:rFonts w:hint="eastAsia" w:ascii="宋体" w:hAnsi="宋体"/>
          <w:sz w:val="24"/>
        </w:rPr>
        <w:t>项目大棚。</w:t>
      </w:r>
    </w:p>
    <w:p w14:paraId="43A08558">
      <w:pPr>
        <w:spacing w:line="360" w:lineRule="auto"/>
        <w:ind w:firstLine="480" w:firstLineChars="200"/>
        <w:jc w:val="left"/>
        <w:rPr>
          <w:rFonts w:hint="eastAsia" w:ascii="宋体" w:hAnsi="宋体"/>
          <w:sz w:val="24"/>
        </w:rPr>
      </w:pPr>
      <w:r>
        <w:rPr>
          <w:rFonts w:hint="eastAsia" w:ascii="宋体" w:hAnsi="宋体"/>
          <w:sz w:val="24"/>
        </w:rPr>
        <w:t>（二）</w:t>
      </w:r>
      <w:r>
        <w:rPr>
          <w:rFonts w:hint="eastAsia" w:ascii="宋体" w:hAnsi="宋体" w:eastAsia="宋体" w:cs="宋体"/>
          <w:sz w:val="24"/>
        </w:rPr>
        <w:t>项目完工期：</w:t>
      </w:r>
      <w:r>
        <w:rPr>
          <w:rFonts w:hint="eastAsia" w:ascii="宋体" w:hAnsi="宋体"/>
          <w:bCs/>
          <w:sz w:val="24"/>
        </w:rPr>
        <w:t>（此处填写内容应与响应文件一致）</w:t>
      </w:r>
    </w:p>
    <w:p w14:paraId="45F0D8A8">
      <w:pPr>
        <w:spacing w:line="360" w:lineRule="auto"/>
        <w:ind w:firstLine="480" w:firstLineChars="200"/>
        <w:jc w:val="left"/>
      </w:pPr>
      <w:r>
        <w:rPr>
          <w:rFonts w:hint="eastAsia" w:ascii="宋体" w:hAnsi="宋体" w:eastAsia="宋体" w:cs="Times New Roman"/>
          <w:sz w:val="24"/>
        </w:rPr>
        <w:t>（三）质保期：</w:t>
      </w:r>
      <w:r>
        <w:rPr>
          <w:rFonts w:hint="eastAsia" w:ascii="宋体" w:hAnsi="宋体"/>
          <w:bCs/>
          <w:sz w:val="24"/>
        </w:rPr>
        <w:t>（此处填写内容应与响应文件一致）</w:t>
      </w:r>
    </w:p>
    <w:p w14:paraId="533DD01F">
      <w:pPr>
        <w:spacing w:line="360" w:lineRule="auto"/>
        <w:jc w:val="left"/>
        <w:rPr>
          <w:rFonts w:hint="eastAsia" w:ascii="宋体" w:hAnsi="宋体"/>
          <w:b/>
          <w:sz w:val="24"/>
        </w:rPr>
      </w:pPr>
      <w:r>
        <w:rPr>
          <w:rFonts w:hint="eastAsia" w:ascii="宋体" w:hAnsi="宋体"/>
          <w:b/>
          <w:sz w:val="24"/>
        </w:rPr>
        <w:t>五、包装运输</w:t>
      </w:r>
    </w:p>
    <w:p w14:paraId="2671EE96">
      <w:pPr>
        <w:spacing w:line="360" w:lineRule="auto"/>
        <w:ind w:firstLine="480" w:firstLineChars="200"/>
        <w:jc w:val="left"/>
        <w:rPr>
          <w:rFonts w:hint="eastAsia" w:ascii="宋体" w:hAnsi="宋体"/>
          <w:sz w:val="24"/>
        </w:rPr>
      </w:pPr>
      <w:r>
        <w:rPr>
          <w:rFonts w:hint="eastAsia" w:ascii="宋体" w:hAnsi="宋体"/>
          <w:sz w:val="24"/>
        </w:rPr>
        <w:t>（一）运杂费：单价中包含产品供应地点到交货地点所包含的运输费、保险费、搬运费等一切费用，供货单位不得另行向甲方收取任何运杂费用。</w:t>
      </w:r>
    </w:p>
    <w:p w14:paraId="33C77914">
      <w:pPr>
        <w:spacing w:line="360" w:lineRule="auto"/>
        <w:ind w:firstLine="480" w:firstLineChars="200"/>
        <w:jc w:val="left"/>
        <w:rPr>
          <w:rFonts w:hint="eastAsia" w:ascii="宋体" w:hAnsi="宋体"/>
          <w:sz w:val="24"/>
          <w:u w:val="single"/>
        </w:rPr>
      </w:pPr>
      <w:r>
        <w:rPr>
          <w:rFonts w:hint="eastAsia" w:ascii="宋体" w:hAnsi="宋体"/>
          <w:sz w:val="24"/>
        </w:rPr>
        <w:t>（二）运输方式：</w:t>
      </w:r>
      <w:r>
        <w:rPr>
          <w:rFonts w:hint="eastAsia" w:ascii="宋体" w:hAnsi="宋体"/>
          <w:sz w:val="24"/>
          <w:u w:val="single"/>
        </w:rPr>
        <w:t xml:space="preserve">            </w:t>
      </w:r>
    </w:p>
    <w:p w14:paraId="191711C1">
      <w:pPr>
        <w:spacing w:line="360" w:lineRule="auto"/>
        <w:jc w:val="left"/>
        <w:rPr>
          <w:rFonts w:hint="eastAsia" w:ascii="宋体" w:hAnsi="宋体"/>
          <w:b/>
          <w:sz w:val="24"/>
        </w:rPr>
      </w:pPr>
      <w:r>
        <w:rPr>
          <w:rFonts w:hint="eastAsia" w:ascii="宋体" w:hAnsi="宋体"/>
          <w:b/>
          <w:sz w:val="24"/>
        </w:rPr>
        <w:t>六、工期延误责任及处罚条款</w:t>
      </w:r>
    </w:p>
    <w:p w14:paraId="19659B3B">
      <w:pPr>
        <w:pStyle w:val="5"/>
        <w:spacing w:line="360" w:lineRule="auto"/>
        <w:rPr>
          <w:rFonts w:hint="eastAsia" w:ascii="宋体" w:hAnsi="宋体"/>
          <w:b/>
          <w:bCs/>
          <w:color w:val="auto"/>
        </w:rPr>
      </w:pPr>
      <w:r>
        <w:rPr>
          <w:rFonts w:hint="eastAsia" w:ascii="宋体" w:hAnsi="宋体"/>
          <w:color w:val="auto"/>
        </w:rPr>
        <w:t xml:space="preserve">   （一）</w:t>
      </w:r>
      <w:r>
        <w:rPr>
          <w:rFonts w:hint="eastAsia" w:ascii="宋体" w:hAnsi="宋体"/>
          <w:b/>
          <w:bCs/>
          <w:color w:val="auto"/>
        </w:rPr>
        <w:t>工期保证</w:t>
      </w:r>
    </w:p>
    <w:p w14:paraId="767976BE">
      <w:pPr>
        <w:pStyle w:val="5"/>
        <w:spacing w:line="360" w:lineRule="auto"/>
        <w:ind w:firstLine="480" w:firstLineChars="200"/>
        <w:rPr>
          <w:rFonts w:hint="eastAsia" w:ascii="宋体" w:hAnsi="宋体"/>
          <w:color w:val="auto"/>
        </w:rPr>
      </w:pPr>
      <w:r>
        <w:rPr>
          <w:rFonts w:hint="eastAsia" w:ascii="宋体" w:hAnsi="宋体"/>
          <w:color w:val="auto"/>
        </w:rPr>
        <w:t>乙方承诺严格按照本合同约定的工期（即</w:t>
      </w:r>
      <w:r>
        <w:rPr>
          <w:rFonts w:hint="eastAsia" w:ascii="宋体" w:hAnsi="宋体" w:eastAsia="宋体" w:cs="宋体"/>
          <w:color w:val="auto"/>
        </w:rPr>
        <w:t>自取得成交通知书后3日起</w:t>
      </w:r>
      <w:r>
        <w:rPr>
          <w:rFonts w:hint="eastAsia" w:ascii="宋体" w:hAnsi="宋体"/>
          <w:color w:val="auto"/>
        </w:rPr>
        <w:t>至项目最终验收合格之日止，共 30 个日历日</w:t>
      </w:r>
      <w:r>
        <w:rPr>
          <w:rFonts w:hint="eastAsia" w:ascii="宋体" w:hAnsi="宋体"/>
          <w:color w:val="auto"/>
          <w:lang w:val="en-US" w:eastAsia="zh-CN"/>
        </w:rPr>
        <w:t>内</w:t>
      </w:r>
      <w:r>
        <w:rPr>
          <w:rFonts w:hint="eastAsia" w:ascii="宋体" w:hAnsi="宋体"/>
          <w:color w:val="auto"/>
        </w:rPr>
        <w:t>）完成全部设备安装、调试及验收工作。未经甲方书面同意，乙方不得以任何理由（包括但不限于原材料短缺、人员不足、资金问题等）拖延工期。</w:t>
      </w:r>
    </w:p>
    <w:p w14:paraId="2C330793">
      <w:pPr>
        <w:spacing w:line="360" w:lineRule="auto"/>
        <w:ind w:firstLine="482" w:firstLineChars="200"/>
        <w:rPr>
          <w:rFonts w:hint="eastAsia" w:ascii="宋体" w:hAnsi="宋体"/>
          <w:b/>
          <w:bCs/>
          <w:sz w:val="24"/>
        </w:rPr>
      </w:pPr>
      <w:r>
        <w:rPr>
          <w:rFonts w:hint="eastAsia" w:ascii="宋体" w:hAnsi="宋体"/>
          <w:b/>
          <w:bCs/>
          <w:sz w:val="24"/>
        </w:rPr>
        <w:t>（二）</w:t>
      </w:r>
      <w:r>
        <w:rPr>
          <w:rFonts w:ascii="宋体" w:hAnsi="宋体"/>
          <w:b/>
          <w:bCs/>
          <w:sz w:val="24"/>
        </w:rPr>
        <w:t>工期延误的认定</w:t>
      </w:r>
    </w:p>
    <w:p w14:paraId="02017D78">
      <w:pPr>
        <w:spacing w:line="360" w:lineRule="auto"/>
        <w:ind w:firstLine="424" w:firstLineChars="177"/>
        <w:rPr>
          <w:rFonts w:hint="eastAsia" w:ascii="宋体" w:hAnsi="宋体"/>
          <w:sz w:val="24"/>
        </w:rPr>
      </w:pPr>
      <w:r>
        <w:rPr>
          <w:rFonts w:ascii="宋体" w:hAnsi="宋体"/>
          <w:sz w:val="24"/>
        </w:rPr>
        <w:t>出现下列情形之一，且乙方未能在事发后24小时内书面通知甲方并提交</w:t>
      </w:r>
      <w:r>
        <w:rPr>
          <w:rFonts w:hint="eastAsia" w:ascii="宋体" w:hAnsi="宋体"/>
          <w:sz w:val="24"/>
        </w:rPr>
        <w:t>书面报告及</w:t>
      </w:r>
      <w:r>
        <w:rPr>
          <w:rFonts w:ascii="宋体" w:hAnsi="宋体"/>
          <w:sz w:val="24"/>
        </w:rPr>
        <w:t>相应证据的，即认定为乙方延误工期：</w:t>
      </w:r>
    </w:p>
    <w:p w14:paraId="6216BF80">
      <w:pPr>
        <w:spacing w:line="360" w:lineRule="auto"/>
        <w:ind w:firstLine="424" w:firstLineChars="177"/>
        <w:rPr>
          <w:rFonts w:hint="eastAsia" w:ascii="宋体" w:hAnsi="宋体"/>
          <w:sz w:val="24"/>
        </w:rPr>
      </w:pPr>
      <w:r>
        <w:rPr>
          <w:rFonts w:ascii="宋体" w:hAnsi="宋体"/>
          <w:sz w:val="24"/>
        </w:rPr>
        <w:t>（</w:t>
      </w:r>
      <w:r>
        <w:rPr>
          <w:rFonts w:hint="eastAsia" w:ascii="宋体" w:hAnsi="宋体"/>
          <w:sz w:val="24"/>
        </w:rPr>
        <w:t>1</w:t>
      </w:r>
      <w:r>
        <w:rPr>
          <w:rFonts w:ascii="宋体" w:hAnsi="宋体"/>
          <w:sz w:val="24"/>
        </w:rPr>
        <w:t>）未按双方确认的进度计划完成关键节点目标（关键节点包括设备全部到场、安装完成、调试完成、验收申请提交等）；</w:t>
      </w:r>
    </w:p>
    <w:p w14:paraId="6AF8EDA2">
      <w:pPr>
        <w:spacing w:line="360" w:lineRule="auto"/>
        <w:ind w:firstLine="424" w:firstLineChars="177"/>
        <w:rPr>
          <w:rFonts w:hint="eastAsia" w:ascii="宋体" w:hAnsi="宋体"/>
          <w:sz w:val="24"/>
        </w:rPr>
      </w:pPr>
      <w:r>
        <w:rPr>
          <w:rFonts w:ascii="宋体" w:hAnsi="宋体"/>
          <w:sz w:val="24"/>
        </w:rPr>
        <w:t>（</w:t>
      </w:r>
      <w:r>
        <w:rPr>
          <w:rFonts w:hint="eastAsia" w:ascii="宋体" w:hAnsi="宋体"/>
          <w:sz w:val="24"/>
        </w:rPr>
        <w:t>2</w:t>
      </w:r>
      <w:r>
        <w:rPr>
          <w:rFonts w:ascii="宋体" w:hAnsi="宋体"/>
          <w:sz w:val="24"/>
        </w:rPr>
        <w:t>）在甲方已按合同约定履行其付款、配合等义务的前提下，未能达到本合同约定的付款节点所要求的工程形象进度；</w:t>
      </w:r>
    </w:p>
    <w:p w14:paraId="2C0F0EC8">
      <w:pPr>
        <w:spacing w:line="360" w:lineRule="auto"/>
        <w:ind w:firstLine="424" w:firstLineChars="177"/>
        <w:rPr>
          <w:rFonts w:hint="eastAsia" w:ascii="宋体" w:hAnsi="宋体"/>
          <w:sz w:val="24"/>
        </w:rPr>
      </w:pPr>
      <w:r>
        <w:rPr>
          <w:rFonts w:ascii="宋体" w:hAnsi="宋体"/>
          <w:sz w:val="24"/>
        </w:rPr>
        <w:t>（</w:t>
      </w:r>
      <w:r>
        <w:rPr>
          <w:rFonts w:hint="eastAsia" w:ascii="宋体" w:hAnsi="宋体"/>
          <w:sz w:val="24"/>
        </w:rPr>
        <w:t>3</w:t>
      </w:r>
      <w:r>
        <w:rPr>
          <w:rFonts w:ascii="宋体" w:hAnsi="宋体"/>
          <w:sz w:val="24"/>
        </w:rPr>
        <w:t>）未经甲方同意，超出合同约定工期完成最终验收</w:t>
      </w:r>
      <w:r>
        <w:rPr>
          <w:rFonts w:hint="eastAsia" w:ascii="宋体" w:hAnsi="宋体"/>
          <w:sz w:val="24"/>
        </w:rPr>
        <w:t>；</w:t>
      </w:r>
    </w:p>
    <w:p w14:paraId="1E22D7CD">
      <w:pPr>
        <w:spacing w:line="360" w:lineRule="auto"/>
        <w:ind w:firstLine="480" w:firstLineChars="200"/>
        <w:rPr>
          <w:rFonts w:hint="eastAsia" w:ascii="宋体" w:hAnsi="宋体"/>
          <w:sz w:val="24"/>
        </w:rPr>
      </w:pPr>
      <w:r>
        <w:rPr>
          <w:rFonts w:hint="eastAsia" w:ascii="宋体" w:hAnsi="宋体"/>
          <w:sz w:val="24"/>
        </w:rPr>
        <w:t>（4）因乙方自身原因（如设备生产延误、运输失误、安装调试技术问题、人员不到位等）导致工期延误的其他情形。</w:t>
      </w:r>
    </w:p>
    <w:p w14:paraId="53C5299D">
      <w:pPr>
        <w:pStyle w:val="5"/>
        <w:spacing w:line="360" w:lineRule="auto"/>
        <w:ind w:firstLine="482" w:firstLineChars="200"/>
        <w:rPr>
          <w:rFonts w:hint="eastAsia" w:ascii="宋体" w:hAnsi="宋体"/>
          <w:b/>
          <w:bCs/>
          <w:color w:val="auto"/>
        </w:rPr>
      </w:pPr>
      <w:r>
        <w:rPr>
          <w:rFonts w:hint="eastAsia" w:ascii="宋体" w:hAnsi="宋体"/>
          <w:b/>
          <w:bCs/>
          <w:color w:val="auto"/>
        </w:rPr>
        <w:t>（三）延误责任及处罚</w:t>
      </w:r>
    </w:p>
    <w:p w14:paraId="3D3A0714">
      <w:pPr>
        <w:spacing w:line="360" w:lineRule="auto"/>
        <w:ind w:firstLine="424" w:firstLineChars="177"/>
        <w:rPr>
          <w:rFonts w:hint="eastAsia" w:ascii="宋体" w:hAnsi="宋体"/>
          <w:sz w:val="24"/>
        </w:rPr>
      </w:pPr>
      <w:r>
        <w:rPr>
          <w:rFonts w:hint="eastAsia" w:ascii="宋体" w:hAnsi="宋体"/>
          <w:sz w:val="24"/>
        </w:rPr>
        <w:t>一旦发生经认定的工期延误，甲方有权向乙方收取工期延误违约金，违约金计算方式如下：</w:t>
      </w:r>
    </w:p>
    <w:p w14:paraId="06A3CD87">
      <w:pPr>
        <w:spacing w:line="360" w:lineRule="auto"/>
        <w:ind w:firstLine="424" w:firstLineChars="177"/>
        <w:rPr>
          <w:rFonts w:hint="eastAsia" w:ascii="宋体" w:hAnsi="宋体"/>
          <w:sz w:val="24"/>
        </w:rPr>
      </w:pPr>
      <w:r>
        <w:rPr>
          <w:rFonts w:hint="eastAsia" w:ascii="宋体" w:hAnsi="宋体"/>
          <w:sz w:val="24"/>
        </w:rPr>
        <w:t>延误违约金 =合同总价×</w:t>
      </w:r>
      <w:r>
        <w:rPr>
          <w:rFonts w:hint="eastAsia" w:ascii="宋体" w:hAnsi="宋体"/>
          <w:sz w:val="24"/>
          <w:u w:val="single"/>
        </w:rPr>
        <w:t>3</w:t>
      </w:r>
      <w:r>
        <w:rPr>
          <w:rFonts w:ascii="Arial" w:hAnsi="Arial" w:cs="Arial"/>
          <w:sz w:val="24"/>
          <w:u w:val="single"/>
        </w:rPr>
        <w:t>‰</w:t>
      </w:r>
      <w:r>
        <w:rPr>
          <w:rFonts w:hint="eastAsia" w:ascii="宋体" w:hAnsi="宋体"/>
          <w:sz w:val="24"/>
        </w:rPr>
        <w:t>×延误天数</w:t>
      </w:r>
    </w:p>
    <w:p w14:paraId="74508420">
      <w:pPr>
        <w:spacing w:line="360" w:lineRule="auto"/>
        <w:ind w:firstLine="424" w:firstLineChars="177"/>
        <w:rPr>
          <w:rFonts w:hint="eastAsia" w:ascii="宋体" w:hAnsi="宋体"/>
          <w:sz w:val="24"/>
        </w:rPr>
      </w:pPr>
      <w:r>
        <w:rPr>
          <w:rFonts w:hint="eastAsia" w:ascii="宋体" w:hAnsi="宋体"/>
          <w:sz w:val="24"/>
        </w:rPr>
        <w:t>延误天数自约定完工日的次日起算，直至乙方实际完成最终验收之日止。</w:t>
      </w:r>
    </w:p>
    <w:p w14:paraId="430EBEE3">
      <w:pPr>
        <w:spacing w:line="360" w:lineRule="auto"/>
        <w:ind w:firstLine="424" w:firstLineChars="177"/>
        <w:rPr>
          <w:rFonts w:hint="eastAsia" w:ascii="宋体" w:hAnsi="宋体"/>
          <w:sz w:val="24"/>
        </w:rPr>
      </w:pPr>
      <w:r>
        <w:rPr>
          <w:rFonts w:hint="eastAsia" w:ascii="宋体" w:hAnsi="宋体"/>
          <w:sz w:val="24"/>
        </w:rPr>
        <w:t>因乙方原因造成工期延误，逾期完工违约金不设上限，直接从结算价中扣除。</w:t>
      </w:r>
    </w:p>
    <w:p w14:paraId="74B49197">
      <w:pPr>
        <w:spacing w:line="360" w:lineRule="auto"/>
        <w:ind w:firstLine="426" w:firstLineChars="177"/>
        <w:rPr>
          <w:rFonts w:hint="eastAsia" w:ascii="宋体" w:hAnsi="宋体" w:eastAsia="宋体" w:cs="Times New Roman"/>
          <w:b/>
          <w:bCs/>
          <w:sz w:val="24"/>
        </w:rPr>
      </w:pPr>
      <w:r>
        <w:rPr>
          <w:rFonts w:hint="eastAsia" w:ascii="宋体" w:hAnsi="宋体" w:eastAsia="宋体" w:cs="Times New Roman"/>
          <w:b/>
          <w:bCs/>
          <w:sz w:val="24"/>
        </w:rPr>
        <w:t>（四）甲方的权利</w:t>
      </w:r>
    </w:p>
    <w:p w14:paraId="4B3893AA">
      <w:pPr>
        <w:spacing w:line="360" w:lineRule="auto"/>
        <w:ind w:firstLine="424" w:firstLineChars="177"/>
        <w:rPr>
          <w:rFonts w:hint="eastAsia" w:ascii="宋体" w:hAnsi="宋体"/>
          <w:sz w:val="24"/>
        </w:rPr>
      </w:pPr>
      <w:r>
        <w:rPr>
          <w:rFonts w:hint="eastAsia" w:ascii="宋体" w:hAnsi="宋体"/>
          <w:sz w:val="24"/>
        </w:rPr>
        <w:t>除收取违约金外，甲方还有权采取以下一项或多项措施：</w:t>
      </w:r>
    </w:p>
    <w:p w14:paraId="2F3E39FB">
      <w:pPr>
        <w:spacing w:line="360" w:lineRule="auto"/>
        <w:ind w:firstLine="424" w:firstLineChars="177"/>
        <w:rPr>
          <w:rFonts w:hint="eastAsia" w:ascii="宋体" w:hAnsi="宋体"/>
          <w:sz w:val="24"/>
        </w:rPr>
      </w:pPr>
      <w:r>
        <w:rPr>
          <w:rFonts w:hint="eastAsia" w:ascii="宋体" w:hAnsi="宋体"/>
          <w:sz w:val="24"/>
        </w:rPr>
        <w:t>（1）要求整改：向乙方发出书面整改通知，要求其在指定期限内提交详细的赶工计划并采取有效措施追赶进度。</w:t>
      </w:r>
    </w:p>
    <w:p w14:paraId="3E24226E">
      <w:pPr>
        <w:spacing w:line="360" w:lineRule="auto"/>
        <w:ind w:firstLine="424" w:firstLineChars="177"/>
        <w:rPr>
          <w:rFonts w:hint="eastAsia" w:ascii="宋体" w:hAnsi="宋体"/>
          <w:sz w:val="24"/>
        </w:rPr>
      </w:pPr>
      <w:r>
        <w:rPr>
          <w:rFonts w:hint="eastAsia" w:ascii="宋体" w:hAnsi="宋体"/>
          <w:sz w:val="24"/>
        </w:rPr>
        <w:t>（2）使用违约金抵扣：有权直接从应支付给乙方的任何款项（包括但不限于进度款、尾款）中抵扣上述违约金。</w:t>
      </w:r>
    </w:p>
    <w:p w14:paraId="26644287">
      <w:pPr>
        <w:spacing w:line="360" w:lineRule="auto"/>
        <w:ind w:firstLine="424" w:firstLineChars="177"/>
        <w:rPr>
          <w:rFonts w:hint="eastAsia" w:ascii="宋体" w:hAnsi="宋体"/>
          <w:sz w:val="24"/>
        </w:rPr>
      </w:pPr>
      <w:r>
        <w:rPr>
          <w:rFonts w:hint="eastAsia" w:ascii="宋体" w:hAnsi="宋体"/>
          <w:sz w:val="24"/>
        </w:rPr>
        <w:t>（3）追究严重违约：若乙方延误工期累计超过30个日历日，或延误导致甲方合同目的无法实现，甲方有权单方解除合同，并要求乙方退还已支付的全部款项，并支付审定金额10%的违约金，且乙方须承担由此给甲方造成的一切直接和间接损失。</w:t>
      </w:r>
    </w:p>
    <w:p w14:paraId="283A73AB">
      <w:pPr>
        <w:spacing w:line="360" w:lineRule="auto"/>
        <w:ind w:firstLine="424" w:firstLineChars="177"/>
        <w:rPr>
          <w:rFonts w:hint="eastAsia" w:ascii="宋体" w:hAnsi="宋体"/>
          <w:sz w:val="24"/>
        </w:rPr>
      </w:pPr>
      <w:r>
        <w:rPr>
          <w:rFonts w:hint="eastAsia" w:ascii="宋体" w:hAnsi="宋体"/>
          <w:sz w:val="24"/>
        </w:rPr>
        <w:t>（五）工期顺延</w:t>
      </w:r>
    </w:p>
    <w:p w14:paraId="33CE9A08">
      <w:pPr>
        <w:spacing w:line="360" w:lineRule="auto"/>
        <w:ind w:firstLine="424" w:firstLineChars="177"/>
        <w:rPr>
          <w:rFonts w:hint="eastAsia" w:ascii="宋体" w:hAnsi="宋体"/>
          <w:sz w:val="24"/>
        </w:rPr>
      </w:pPr>
      <w:r>
        <w:rPr>
          <w:rFonts w:hint="eastAsia" w:ascii="宋体" w:hAnsi="宋体"/>
          <w:sz w:val="24"/>
        </w:rPr>
        <w:t>因以下原因导致工期延误，经甲方书面确认后，工期相应顺延，甲方不收取违约金：</w:t>
      </w:r>
    </w:p>
    <w:p w14:paraId="3E045DED">
      <w:pPr>
        <w:spacing w:line="360" w:lineRule="auto"/>
        <w:ind w:firstLine="424" w:firstLineChars="177"/>
        <w:rPr>
          <w:rFonts w:hint="eastAsia" w:ascii="宋体" w:hAnsi="宋体"/>
          <w:sz w:val="24"/>
        </w:rPr>
      </w:pPr>
      <w:r>
        <w:rPr>
          <w:rFonts w:hint="eastAsia" w:ascii="宋体" w:hAnsi="宋体"/>
          <w:sz w:val="24"/>
        </w:rPr>
        <w:t>（一）甲方原因：如甲方未能按合同约定提供施工条件或履行其配合义务。</w:t>
      </w:r>
    </w:p>
    <w:p w14:paraId="376E522F">
      <w:pPr>
        <w:spacing w:line="360" w:lineRule="auto"/>
        <w:ind w:firstLine="424" w:firstLineChars="177"/>
        <w:rPr>
          <w:rFonts w:hint="eastAsia" w:ascii="宋体" w:hAnsi="宋体"/>
          <w:sz w:val="24"/>
        </w:rPr>
      </w:pPr>
      <w:r>
        <w:rPr>
          <w:rFonts w:hint="eastAsia" w:ascii="宋体" w:hAnsi="宋体"/>
          <w:sz w:val="24"/>
        </w:rPr>
        <w:t>（二）不可抗力：如发生战争、动乱、自然灾害（如地震、洪水、瘟疫）等不能预见、不能避免并不能克服的客观情况。</w:t>
      </w:r>
    </w:p>
    <w:p w14:paraId="76B27EFF">
      <w:pPr>
        <w:spacing w:line="360" w:lineRule="auto"/>
        <w:ind w:firstLine="424" w:firstLineChars="177"/>
        <w:rPr>
          <w:rFonts w:hint="eastAsia" w:ascii="宋体" w:hAnsi="宋体"/>
          <w:sz w:val="24"/>
        </w:rPr>
      </w:pPr>
      <w:r>
        <w:rPr>
          <w:rFonts w:hint="eastAsia" w:ascii="宋体" w:hAnsi="宋体"/>
          <w:sz w:val="24"/>
        </w:rPr>
        <w:t>（三）重大设计变更：经甲方提出的重大设计变更，且该变更足以影响关键路径工期。</w:t>
      </w:r>
    </w:p>
    <w:p w14:paraId="6D15ACCA">
      <w:pPr>
        <w:spacing w:line="360" w:lineRule="auto"/>
        <w:ind w:firstLine="424" w:firstLineChars="177"/>
        <w:rPr>
          <w:rFonts w:hint="eastAsia" w:ascii="宋体" w:hAnsi="宋体"/>
          <w:sz w:val="24"/>
        </w:rPr>
      </w:pPr>
      <w:r>
        <w:rPr>
          <w:rFonts w:hint="eastAsia" w:ascii="宋体" w:hAnsi="宋体"/>
          <w:sz w:val="24"/>
        </w:rPr>
        <w:t>乙方应在上述情况发生后</w:t>
      </w:r>
      <w:r>
        <w:rPr>
          <w:rFonts w:hint="eastAsia" w:ascii="宋体" w:hAnsi="宋体"/>
          <w:sz w:val="24"/>
          <w:lang w:val="en-US" w:eastAsia="zh-CN"/>
        </w:rPr>
        <w:t>24</w:t>
      </w:r>
      <w:r>
        <w:rPr>
          <w:rFonts w:hint="eastAsia" w:ascii="宋体" w:hAnsi="宋体"/>
          <w:sz w:val="24"/>
        </w:rPr>
        <w:t>小时内向甲方提交书面报告和证明材料，否则不予顺延。</w:t>
      </w:r>
    </w:p>
    <w:p w14:paraId="3F3B35B9">
      <w:pPr>
        <w:spacing w:line="360" w:lineRule="auto"/>
        <w:jc w:val="left"/>
        <w:rPr>
          <w:rFonts w:hint="eastAsia" w:ascii="宋体" w:hAnsi="宋体"/>
          <w:b/>
          <w:sz w:val="24"/>
        </w:rPr>
      </w:pPr>
      <w:r>
        <w:rPr>
          <w:rFonts w:hint="eastAsia" w:ascii="宋体" w:hAnsi="宋体"/>
          <w:b/>
          <w:sz w:val="24"/>
        </w:rPr>
        <w:t>七、质量保证</w:t>
      </w:r>
    </w:p>
    <w:p w14:paraId="64BA3776">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乙方应在设备到货时，向甲方提供每台设备的产品合格证、出厂检验报告等文件，文件不全或内容不符的，甲方有权拒绝验收。</w:t>
      </w:r>
    </w:p>
    <w:p w14:paraId="097909D2">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乙方保证其提供的设备及相关技术不侵犯任何第三方的知识产权（包括专利权、商标权、著作权等）。凡因以上问题与第三方发生的任何纠纷均与甲方无关。</w:t>
      </w:r>
    </w:p>
    <w:p w14:paraId="35AF5CB6">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23B34C2E">
      <w:pPr>
        <w:spacing w:line="360" w:lineRule="auto"/>
        <w:ind w:firstLine="480" w:firstLineChars="200"/>
        <w:jc w:val="left"/>
        <w:rPr>
          <w:rFonts w:hint="eastAsia" w:ascii="宋体" w:hAnsi="宋体" w:eastAsia="宋体"/>
          <w:sz w:val="24"/>
        </w:rPr>
      </w:pPr>
      <w:r>
        <w:rPr>
          <w:rFonts w:hint="eastAsia" w:ascii="宋体" w:hAnsi="宋体"/>
          <w:sz w:val="24"/>
        </w:rPr>
        <w:t>（四）有强制性安全标准的产品，乙方应提供该产品的制造许可证证明、产品安全认证证书等文件。若乙方无法提供或提供的证书无效，甲方有权拒绝接收设备。</w:t>
      </w:r>
    </w:p>
    <w:p w14:paraId="319850AA">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58E3167A">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52C6EF7E">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w:t>
      </w:r>
      <w:r>
        <w:rPr>
          <w:rFonts w:hint="eastAsia" w:ascii="宋体" w:hAnsi="宋体"/>
          <w:bCs/>
          <w:sz w:val="24"/>
          <w:u w:val="single"/>
        </w:rPr>
        <w:t xml:space="preserve">   年</w:t>
      </w:r>
      <w:r>
        <w:rPr>
          <w:rFonts w:hint="eastAsia" w:ascii="宋体" w:hAnsi="宋体"/>
          <w:bCs/>
          <w:sz w:val="24"/>
        </w:rPr>
        <w:t>。设备质保期按设备安装验收合格办理验收手续之日算起。</w:t>
      </w:r>
      <w:r>
        <w:rPr>
          <w:rFonts w:hint="eastAsia" w:ascii="宋体" w:hAnsi="宋体"/>
          <w:sz w:val="24"/>
        </w:rPr>
        <w:t>质保期满后如需更换零部件，只收取零部件成本费，终身免费维护保养。</w:t>
      </w:r>
    </w:p>
    <w:p w14:paraId="0B02EDB6">
      <w:pPr>
        <w:spacing w:line="360" w:lineRule="auto"/>
        <w:jc w:val="left"/>
        <w:rPr>
          <w:rFonts w:hint="eastAsia" w:ascii="宋体" w:hAnsi="宋体"/>
          <w:b/>
          <w:sz w:val="24"/>
        </w:rPr>
      </w:pPr>
      <w:r>
        <w:rPr>
          <w:rFonts w:hint="eastAsia" w:ascii="宋体" w:hAnsi="宋体"/>
          <w:b/>
          <w:sz w:val="24"/>
        </w:rPr>
        <w:t>八、技术服务</w:t>
      </w:r>
    </w:p>
    <w:p w14:paraId="78A548F8">
      <w:pPr>
        <w:spacing w:line="360" w:lineRule="auto"/>
        <w:ind w:firstLine="482" w:firstLineChars="200"/>
        <w:jc w:val="left"/>
        <w:rPr>
          <w:rFonts w:hint="eastAsia" w:ascii="宋体" w:hAnsi="宋体"/>
          <w:b/>
          <w:sz w:val="24"/>
        </w:rPr>
      </w:pPr>
      <w:r>
        <w:rPr>
          <w:rFonts w:hint="eastAsia" w:ascii="宋体" w:hAnsi="宋体"/>
          <w:b/>
          <w:sz w:val="24"/>
        </w:rPr>
        <w:t>（一）技术资料：</w:t>
      </w:r>
    </w:p>
    <w:p w14:paraId="16F68B77">
      <w:pPr>
        <w:spacing w:line="360" w:lineRule="auto"/>
        <w:ind w:firstLine="600" w:firstLineChars="250"/>
        <w:jc w:val="left"/>
        <w:rPr>
          <w:rFonts w:hint="eastAsia" w:ascii="宋体" w:hAnsi="宋体"/>
          <w:sz w:val="24"/>
        </w:rPr>
      </w:pPr>
      <w:r>
        <w:rPr>
          <w:rFonts w:hint="eastAsia" w:ascii="宋体" w:hAnsi="宋体"/>
          <w:sz w:val="24"/>
        </w:rPr>
        <w:t>1、产品合格证、商检证明。</w:t>
      </w:r>
    </w:p>
    <w:p w14:paraId="283946CC">
      <w:pPr>
        <w:spacing w:line="360" w:lineRule="auto"/>
        <w:ind w:firstLine="600" w:firstLineChars="250"/>
        <w:jc w:val="left"/>
        <w:rPr>
          <w:rFonts w:hint="eastAsia" w:ascii="宋体" w:hAnsi="宋体"/>
          <w:sz w:val="24"/>
        </w:rPr>
      </w:pPr>
      <w:r>
        <w:rPr>
          <w:rFonts w:hint="eastAsia" w:ascii="宋体" w:hAnsi="宋体"/>
          <w:sz w:val="24"/>
        </w:rPr>
        <w:t>2、产品使用说明书。</w:t>
      </w:r>
    </w:p>
    <w:p w14:paraId="63C22304">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免费为使用单位培训操作人员至能独立达到操作要求。</w:t>
      </w:r>
    </w:p>
    <w:p w14:paraId="2B414B71">
      <w:pPr>
        <w:spacing w:line="360" w:lineRule="auto"/>
        <w:ind w:firstLine="482" w:firstLineChars="200"/>
        <w:jc w:val="left"/>
        <w:rPr>
          <w:rFonts w:hint="eastAsia" w:ascii="宋体" w:hAnsi="宋体"/>
          <w:b/>
          <w:sz w:val="24"/>
        </w:rPr>
      </w:pPr>
      <w:r>
        <w:rPr>
          <w:rFonts w:hint="eastAsia" w:ascii="宋体" w:hAnsi="宋体"/>
          <w:b/>
          <w:sz w:val="24"/>
        </w:rPr>
        <w:t>（三）服务承诺：</w:t>
      </w:r>
    </w:p>
    <w:p w14:paraId="1B1EB913">
      <w:pPr>
        <w:spacing w:line="360" w:lineRule="auto"/>
        <w:ind w:firstLine="600" w:firstLineChars="250"/>
        <w:jc w:val="left"/>
        <w:rPr>
          <w:rFonts w:hint="eastAsia" w:ascii="宋体" w:hAnsi="宋体"/>
          <w:b/>
          <w:sz w:val="24"/>
        </w:rPr>
      </w:pPr>
      <w:r>
        <w:rPr>
          <w:rFonts w:hint="eastAsia" w:ascii="宋体" w:hAnsi="宋体"/>
          <w:bCs/>
          <w:sz w:val="24"/>
        </w:rPr>
        <w:t>（此处填写内容应与响应文件一致）</w:t>
      </w:r>
    </w:p>
    <w:p w14:paraId="5475E271">
      <w:pPr>
        <w:spacing w:line="360" w:lineRule="auto"/>
        <w:jc w:val="left"/>
        <w:rPr>
          <w:rFonts w:hint="eastAsia" w:ascii="宋体" w:hAnsi="宋体"/>
          <w:b/>
          <w:sz w:val="24"/>
        </w:rPr>
      </w:pPr>
      <w:r>
        <w:rPr>
          <w:rFonts w:hint="eastAsia" w:ascii="宋体" w:hAnsi="宋体"/>
          <w:b/>
          <w:sz w:val="24"/>
        </w:rPr>
        <w:t>九、违约责任</w:t>
      </w:r>
    </w:p>
    <w:p w14:paraId="20651BFB">
      <w:pPr>
        <w:numPr>
          <w:ilvl w:val="0"/>
          <w:numId w:val="3"/>
        </w:numPr>
        <w:spacing w:line="360" w:lineRule="auto"/>
        <w:jc w:val="left"/>
        <w:rPr>
          <w:rFonts w:hint="eastAsia" w:ascii="宋体" w:hAnsi="宋体"/>
          <w:sz w:val="24"/>
        </w:rPr>
      </w:pPr>
      <w:r>
        <w:rPr>
          <w:rFonts w:hint="eastAsia" w:ascii="宋体" w:hAnsi="宋体"/>
          <w:sz w:val="24"/>
        </w:rPr>
        <w:t>按《中华</w:t>
      </w:r>
      <w:r>
        <w:rPr>
          <w:rFonts w:ascii="宋体" w:hAnsi="宋体"/>
          <w:sz w:val="24"/>
        </w:rPr>
        <w:t>人民共和国</w:t>
      </w:r>
      <w:r>
        <w:rPr>
          <w:rFonts w:hint="eastAsia" w:ascii="宋体" w:hAnsi="宋体"/>
          <w:sz w:val="24"/>
        </w:rPr>
        <w:t>民法典》中的相关条款执行。</w:t>
      </w:r>
    </w:p>
    <w:p w14:paraId="34FF2EAD">
      <w:pPr>
        <w:numPr>
          <w:ilvl w:val="0"/>
          <w:numId w:val="3"/>
        </w:numPr>
        <w:spacing w:line="360" w:lineRule="auto"/>
        <w:rPr>
          <w:rFonts w:hint="eastAsia" w:ascii="宋体" w:hAnsi="宋体"/>
          <w:sz w:val="24"/>
        </w:rPr>
      </w:pPr>
      <w:r>
        <w:rPr>
          <w:rFonts w:hint="eastAsia" w:ascii="宋体" w:hAnsi="宋体"/>
          <w:sz w:val="24"/>
        </w:rPr>
        <w:t>未按合同要求的提供产品或设备质量不能满足技术要求，采购人有权终止合同，甚至对供方违约行为进行追究。</w:t>
      </w:r>
    </w:p>
    <w:p w14:paraId="3FCA3B20">
      <w:pPr>
        <w:numPr>
          <w:ilvl w:val="0"/>
          <w:numId w:val="3"/>
        </w:numPr>
        <w:spacing w:line="360" w:lineRule="auto"/>
        <w:jc w:val="left"/>
        <w:rPr>
          <w:rFonts w:hint="eastAsia" w:ascii="宋体" w:hAnsi="宋体"/>
          <w:sz w:val="24"/>
        </w:rPr>
      </w:pPr>
      <w:r>
        <w:rPr>
          <w:rFonts w:hint="eastAsia" w:ascii="宋体" w:hAnsi="宋体"/>
          <w:sz w:val="24"/>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6820E764">
      <w:pPr>
        <w:numPr>
          <w:ilvl w:val="0"/>
          <w:numId w:val="3"/>
        </w:numPr>
        <w:spacing w:line="360" w:lineRule="auto"/>
        <w:jc w:val="left"/>
        <w:rPr>
          <w:rFonts w:hint="eastAsia" w:ascii="宋体" w:hAnsi="宋体"/>
          <w:sz w:val="24"/>
        </w:rPr>
      </w:pPr>
      <w:r>
        <w:rPr>
          <w:rFonts w:hint="eastAsia" w:ascii="宋体" w:hAnsi="宋体"/>
          <w:sz w:val="24"/>
        </w:rPr>
        <w:t>除不可抗力外，如果乙方出现①不服从采购人的正当监督管理要求；②使用未经质检的不合格产品（材料）；③采购人发出2次以上整改通知；④对采购人发出的整改通知不整改或者整改不合格等违约行为，违约金按1000元/次计算，最高限额为本合同总价的5 %，直接从结算价中扣除。</w:t>
      </w:r>
    </w:p>
    <w:p w14:paraId="0688F51B">
      <w:pPr>
        <w:numPr>
          <w:ilvl w:val="0"/>
          <w:numId w:val="3"/>
        </w:numPr>
        <w:spacing w:line="360" w:lineRule="auto"/>
        <w:jc w:val="left"/>
        <w:rPr>
          <w:rFonts w:hint="eastAsia" w:ascii="宋体" w:hAnsi="宋体"/>
          <w:sz w:val="24"/>
        </w:rPr>
      </w:pPr>
      <w:r>
        <w:rPr>
          <w:rFonts w:hint="eastAsia" w:ascii="宋体" w:hAnsi="宋体"/>
          <w:sz w:val="24"/>
        </w:rPr>
        <w:t>迟延交付货物的违约金计算数额达到前述最高限额之日起，甲方有权在要求乙方支付违约金的同时，书面通知乙方解除本合同。</w:t>
      </w:r>
    </w:p>
    <w:p w14:paraId="293D357B">
      <w:pPr>
        <w:numPr>
          <w:ilvl w:val="0"/>
          <w:numId w:val="3"/>
        </w:numPr>
        <w:spacing w:line="360" w:lineRule="auto"/>
        <w:jc w:val="left"/>
        <w:rPr>
          <w:rFonts w:hint="eastAsia" w:ascii="宋体" w:hAnsi="宋体"/>
          <w:sz w:val="24"/>
        </w:rPr>
      </w:pPr>
      <w:r>
        <w:rPr>
          <w:rFonts w:hint="eastAsia" w:ascii="宋体" w:hAnsi="宋体"/>
          <w:sz w:val="24"/>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3A7A70F3">
      <w:pPr>
        <w:numPr>
          <w:ilvl w:val="0"/>
          <w:numId w:val="3"/>
        </w:numPr>
        <w:spacing w:line="360" w:lineRule="auto"/>
        <w:jc w:val="left"/>
        <w:rPr>
          <w:rFonts w:hint="eastAsia" w:ascii="宋体" w:hAnsi="宋体"/>
          <w:sz w:val="24"/>
        </w:rPr>
      </w:pPr>
      <w:r>
        <w:rPr>
          <w:rFonts w:hint="eastAsia" w:ascii="宋体" w:hAnsi="宋体"/>
          <w:sz w:val="24"/>
        </w:rPr>
        <w:t>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407E70F2">
      <w:pPr>
        <w:numPr>
          <w:ilvl w:val="0"/>
          <w:numId w:val="3"/>
        </w:numPr>
        <w:spacing w:line="360" w:lineRule="auto"/>
        <w:jc w:val="left"/>
        <w:rPr>
          <w:rFonts w:hint="eastAsia" w:ascii="宋体" w:hAnsi="宋体"/>
          <w:sz w:val="24"/>
        </w:rPr>
      </w:pPr>
      <w:r>
        <w:rPr>
          <w:rFonts w:hint="eastAsia" w:ascii="宋体" w:hAnsi="宋体"/>
          <w:sz w:val="24"/>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5AEA86E6">
      <w:pPr>
        <w:numPr>
          <w:ilvl w:val="0"/>
          <w:numId w:val="3"/>
        </w:numPr>
        <w:spacing w:line="360" w:lineRule="auto"/>
        <w:jc w:val="left"/>
        <w:rPr>
          <w:rFonts w:hint="eastAsia" w:ascii="宋体" w:hAnsi="宋体"/>
          <w:sz w:val="24"/>
        </w:rPr>
      </w:pPr>
      <w:r>
        <w:rPr>
          <w:rFonts w:hint="eastAsia" w:ascii="宋体" w:hAnsi="宋体"/>
          <w:sz w:val="24"/>
        </w:rPr>
        <w:t>如果出现政府采购监督管理部门在处理投诉事项期间，书面通知甲方暂停采购活动的情形，或者询问或质疑事项可能影响中标结果的，导致甲方中止履行合同的情形，均不视为甲方违约。</w:t>
      </w:r>
    </w:p>
    <w:p w14:paraId="2DADEEE8">
      <w:pPr>
        <w:numPr>
          <w:ilvl w:val="0"/>
          <w:numId w:val="3"/>
        </w:numPr>
        <w:spacing w:line="360" w:lineRule="auto"/>
        <w:jc w:val="left"/>
        <w:rPr>
          <w:rFonts w:hint="eastAsia" w:ascii="宋体" w:hAnsi="宋体"/>
          <w:sz w:val="24"/>
        </w:rPr>
      </w:pPr>
      <w:r>
        <w:rPr>
          <w:rFonts w:hint="eastAsia" w:ascii="宋体" w:hAnsi="宋体"/>
          <w:sz w:val="24"/>
        </w:rPr>
        <w:t>如有纠纷，双方友好协商解决，协商不成时可诉讼到甲方所在地人民法院解决。</w:t>
      </w:r>
    </w:p>
    <w:p w14:paraId="0915E6E3">
      <w:pPr>
        <w:spacing w:line="360" w:lineRule="auto"/>
        <w:jc w:val="left"/>
        <w:rPr>
          <w:rFonts w:hint="eastAsia" w:ascii="宋体" w:hAnsi="宋体"/>
          <w:b/>
          <w:sz w:val="24"/>
        </w:rPr>
      </w:pPr>
      <w:r>
        <w:rPr>
          <w:rFonts w:hint="eastAsia" w:ascii="宋体" w:hAnsi="宋体"/>
          <w:b/>
          <w:sz w:val="24"/>
        </w:rPr>
        <w:t>十、验收</w:t>
      </w:r>
    </w:p>
    <w:p w14:paraId="1122A816">
      <w:pPr>
        <w:pStyle w:val="12"/>
        <w:spacing w:line="360" w:lineRule="auto"/>
        <w:ind w:firstLine="480" w:firstLineChars="200"/>
        <w:rPr>
          <w:rFonts w:ascii="宋体" w:hAnsi="宋体" w:eastAsia="宋体" w:cs="宋体"/>
          <w:sz w:val="24"/>
          <w:szCs w:val="24"/>
          <w:lang w:eastAsia="zh-CN"/>
        </w:rPr>
      </w:pPr>
      <w:r>
        <w:rPr>
          <w:rFonts w:ascii="宋体" w:hAnsi="宋体" w:eastAsia="宋体" w:cs="宋体"/>
          <w:sz w:val="24"/>
          <w:szCs w:val="24"/>
          <w:lang w:eastAsia="zh-CN"/>
        </w:rPr>
        <w:t>设备安装、调试完成后，对照谈判文件要求、响应文件上的技术参数及合同条款，由</w:t>
      </w:r>
      <w:r>
        <w:rPr>
          <w:rFonts w:ascii="宋体" w:hAnsi="宋体" w:eastAsia="宋体"/>
          <w:sz w:val="24"/>
          <w:lang w:eastAsia="zh-CN"/>
        </w:rPr>
        <w:t>甲方</w:t>
      </w:r>
      <w:r>
        <w:rPr>
          <w:rFonts w:ascii="宋体" w:hAnsi="宋体"/>
          <w:sz w:val="24"/>
        </w:rPr>
        <w:t>负责组织验收或者邀请有关专家、质检机构、采购代理机构共同进行验收</w:t>
      </w:r>
      <w:r>
        <w:rPr>
          <w:rFonts w:ascii="宋体" w:hAnsi="宋体" w:eastAsia="宋体" w:cs="宋体"/>
          <w:sz w:val="24"/>
          <w:szCs w:val="24"/>
          <w:lang w:eastAsia="zh-CN"/>
        </w:rPr>
        <w:t>，对项目验收发生的检测（检验）费（如有）、专家劳务报酬等费用支出，由中标方承担。若验收未通过，乙方负责更换设备或重新安装调试，双方重新组织验收，此过程中产生的所有费用、及因此对甲方造成的损失均由乙方承担。</w:t>
      </w:r>
    </w:p>
    <w:p w14:paraId="294B9F24">
      <w:pPr>
        <w:spacing w:line="360" w:lineRule="auto"/>
        <w:ind w:firstLine="480" w:firstLineChars="200"/>
        <w:jc w:val="left"/>
        <w:rPr>
          <w:rFonts w:hint="eastAsia" w:ascii="宋体" w:hAnsi="宋体"/>
          <w:sz w:val="24"/>
        </w:rPr>
      </w:pPr>
      <w:r>
        <w:rPr>
          <w:rFonts w:hint="eastAsia" w:ascii="宋体" w:hAnsi="宋体" w:eastAsia="宋体" w:cs="宋体"/>
          <w:sz w:val="24"/>
        </w:rPr>
        <w:t>双方验收时，对设备外观、数量、配置情况等进行仔细核对、清点，认真考核设备指标，</w:t>
      </w:r>
      <w:r>
        <w:rPr>
          <w:rFonts w:hint="eastAsia" w:ascii="宋体" w:hAnsi="宋体"/>
          <w:sz w:val="24"/>
        </w:rPr>
        <w:t>验收合格须交接项目实施的全部资料，并填写政府采购项目验收报告单。验收须以合同、招投标文件、澄清、及国家相应的标准、规范等为依据。</w:t>
      </w:r>
    </w:p>
    <w:p w14:paraId="7EDBEE45">
      <w:pPr>
        <w:spacing w:line="360" w:lineRule="auto"/>
        <w:jc w:val="left"/>
        <w:rPr>
          <w:rFonts w:hint="eastAsia" w:ascii="宋体" w:hAnsi="宋体"/>
          <w:b/>
          <w:sz w:val="24"/>
        </w:rPr>
      </w:pPr>
      <w:r>
        <w:rPr>
          <w:rFonts w:hint="eastAsia" w:ascii="宋体" w:hAnsi="宋体"/>
          <w:b/>
          <w:sz w:val="24"/>
        </w:rPr>
        <w:t>十一、其他事项</w:t>
      </w:r>
    </w:p>
    <w:p w14:paraId="0612C8C1">
      <w:pPr>
        <w:spacing w:line="360" w:lineRule="auto"/>
        <w:ind w:firstLine="480" w:firstLineChars="200"/>
        <w:jc w:val="left"/>
        <w:rPr>
          <w:rFonts w:hint="eastAsia" w:ascii="宋体" w:hAnsi="宋体"/>
          <w:sz w:val="24"/>
        </w:rPr>
      </w:pPr>
      <w:r>
        <w:rPr>
          <w:rFonts w:hint="eastAsia" w:ascii="宋体" w:hAnsi="宋体"/>
          <w:sz w:val="24"/>
        </w:rPr>
        <w:t>（一）采购人监管部门在合同的履行期间以及履行期后，可以随时检查项目的执行情况，对采购标准、采购内容进行调查核实，并对发现的问题进行处理。</w:t>
      </w:r>
    </w:p>
    <w:p w14:paraId="3FAFEC06">
      <w:pPr>
        <w:spacing w:line="360" w:lineRule="auto"/>
        <w:ind w:left="105" w:leftChars="50" w:firstLine="360" w:firstLineChars="150"/>
        <w:jc w:val="left"/>
        <w:rPr>
          <w:rFonts w:hint="eastAsia" w:ascii="宋体" w:hAnsi="宋体"/>
          <w:sz w:val="24"/>
        </w:rPr>
      </w:pPr>
      <w:r>
        <w:rPr>
          <w:rFonts w:hint="eastAsia" w:ascii="宋体" w:hAnsi="宋体"/>
          <w:sz w:val="24"/>
        </w:rPr>
        <w:t>（二）本合同一式六份，甲方四份，乙方一份，采购</w:t>
      </w:r>
      <w:r>
        <w:rPr>
          <w:rFonts w:ascii="宋体" w:hAnsi="宋体"/>
          <w:sz w:val="24"/>
        </w:rPr>
        <w:t>代理机构</w:t>
      </w:r>
      <w:r>
        <w:rPr>
          <w:rFonts w:hint="eastAsia" w:ascii="宋体" w:hAnsi="宋体"/>
          <w:sz w:val="24"/>
        </w:rPr>
        <w:t>一份，甲乙双方法定代表人（负责人）签字并加盖单位公章后生效。</w:t>
      </w:r>
    </w:p>
    <w:p w14:paraId="1A836FC0">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5E822AE7">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3114FD70">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54EC2445">
      <w:pPr>
        <w:spacing w:line="360" w:lineRule="auto"/>
        <w:jc w:val="left"/>
        <w:rPr>
          <w:rFonts w:hint="eastAsia" w:ascii="宋体" w:hAnsi="宋体"/>
          <w:sz w:val="24"/>
        </w:rPr>
      </w:pPr>
    </w:p>
    <w:p w14:paraId="13DF57DA">
      <w:pPr>
        <w:spacing w:line="360" w:lineRule="auto"/>
        <w:jc w:val="left"/>
        <w:rPr>
          <w:rFonts w:hint="eastAsia" w:ascii="宋体" w:hAnsi="宋体"/>
          <w:sz w:val="24"/>
        </w:rPr>
      </w:pPr>
    </w:p>
    <w:p w14:paraId="1B24B8EF">
      <w:pPr>
        <w:spacing w:line="360" w:lineRule="auto"/>
        <w:jc w:val="left"/>
        <w:rPr>
          <w:rFonts w:hint="eastAsia" w:ascii="宋体" w:hAnsi="宋体"/>
          <w:sz w:val="24"/>
        </w:rPr>
      </w:pPr>
      <w:r>
        <w:rPr>
          <w:rFonts w:hint="eastAsia" w:ascii="宋体" w:hAnsi="宋体"/>
          <w:sz w:val="24"/>
        </w:rPr>
        <w:t>甲    方                           乙    方</w:t>
      </w:r>
    </w:p>
    <w:p w14:paraId="5CE091AD">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411E2ABE">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14:paraId="04DEE1A6">
      <w:pPr>
        <w:spacing w:line="360" w:lineRule="auto"/>
        <w:jc w:val="left"/>
        <w:rPr>
          <w:rFonts w:hint="eastAsia" w:ascii="宋体" w:hAnsi="宋体"/>
          <w:sz w:val="24"/>
        </w:rPr>
      </w:pPr>
    </w:p>
    <w:p w14:paraId="60A02A55">
      <w:pPr>
        <w:spacing w:line="360" w:lineRule="auto"/>
        <w:jc w:val="left"/>
        <w:rPr>
          <w:rFonts w:hint="eastAsia" w:ascii="宋体" w:hAnsi="宋体"/>
          <w:sz w:val="24"/>
        </w:rPr>
      </w:pPr>
    </w:p>
    <w:p w14:paraId="5DF178BD">
      <w:pPr>
        <w:spacing w:line="360" w:lineRule="auto"/>
        <w:jc w:val="left"/>
        <w:rPr>
          <w:rFonts w:hint="eastAsia" w:ascii="宋体" w:hAnsi="宋体"/>
          <w:sz w:val="24"/>
        </w:rPr>
      </w:pPr>
      <w:r>
        <w:rPr>
          <w:rFonts w:hint="eastAsia" w:ascii="宋体" w:hAnsi="宋体"/>
          <w:sz w:val="24"/>
        </w:rPr>
        <w:t xml:space="preserve">法人代表：                         法人代表： </w:t>
      </w:r>
    </w:p>
    <w:p w14:paraId="0220C7DE">
      <w:pPr>
        <w:spacing w:line="360" w:lineRule="auto"/>
        <w:jc w:val="left"/>
        <w:rPr>
          <w:rFonts w:hint="eastAsia" w:ascii="宋体" w:hAnsi="宋体"/>
          <w:sz w:val="24"/>
        </w:rPr>
      </w:pPr>
    </w:p>
    <w:p w14:paraId="0C9CA804">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6BE00503">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3B782E76">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CC63B">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66B48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3566B484">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CF1AED">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64CF1AED">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667D99"/>
    <w:multiLevelType w:val="singleLevel"/>
    <w:tmpl w:val="96667D99"/>
    <w:lvl w:ilvl="0" w:tentative="0">
      <w:start w:val="1"/>
      <w:numFmt w:val="chineseCounting"/>
      <w:suff w:val="nothing"/>
      <w:lvlText w:val="（%1）"/>
      <w:lvlJc w:val="left"/>
      <w:pPr>
        <w:ind w:left="0" w:firstLine="420"/>
      </w:pPr>
      <w:rPr>
        <w:rFonts w:hint="eastAsia"/>
      </w:rPr>
    </w:lvl>
  </w:abstractNum>
  <w:abstractNum w:abstractNumId="1">
    <w:nsid w:val="B7F30EE2"/>
    <w:multiLevelType w:val="singleLevel"/>
    <w:tmpl w:val="B7F30EE2"/>
    <w:lvl w:ilvl="0" w:tentative="0">
      <w:start w:val="2"/>
      <w:numFmt w:val="chineseCounting"/>
      <w:suff w:val="nothing"/>
      <w:lvlText w:val="%1、"/>
      <w:lvlJc w:val="left"/>
      <w:rPr>
        <w:rFonts w:hint="eastAsia"/>
      </w:rPr>
    </w:lvl>
  </w:abstractNum>
  <w:abstractNum w:abstractNumId="2">
    <w:nsid w:val="1ECA046B"/>
    <w:multiLevelType w:val="singleLevel"/>
    <w:tmpl w:val="1ECA046B"/>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522CCC"/>
    <w:rsid w:val="00913F12"/>
    <w:rsid w:val="00937730"/>
    <w:rsid w:val="009D3BAB"/>
    <w:rsid w:val="00A8560B"/>
    <w:rsid w:val="00C80D71"/>
    <w:rsid w:val="00DB0A2E"/>
    <w:rsid w:val="064E2489"/>
    <w:rsid w:val="12206044"/>
    <w:rsid w:val="67400203"/>
    <w:rsid w:val="70851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spacing w:line="240" w:lineRule="auto"/>
      <w:jc w:val="left"/>
    </w:pPr>
    <w:rPr>
      <w:sz w:val="18"/>
      <w:szCs w:val="18"/>
    </w:rPr>
  </w:style>
  <w:style w:type="paragraph" w:styleId="4">
    <w:name w:val="annotation text"/>
    <w:basedOn w:val="1"/>
    <w:qFormat/>
    <w:uiPriority w:val="0"/>
    <w:pPr>
      <w:jc w:val="left"/>
    </w:p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2"/>
    <w:qFormat/>
    <w:uiPriority w:val="0"/>
    <w:rPr>
      <w:rFonts w:ascii="Times New Roman" w:hAnsi="Times New Roman" w:eastAsia="宋体" w:cs="Times New Roman"/>
      <w:kern w:val="2"/>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4391</Words>
  <Characters>4419</Characters>
  <Lines>11</Lines>
  <Paragraphs>3</Paragraphs>
  <TotalTime>0</TotalTime>
  <ScaleCrop>false</ScaleCrop>
  <LinksUpToDate>false</LinksUpToDate>
  <CharactersWithSpaces>4686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2025-09-04T12:59:34Z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2B13D543E81B4760AF6D0E764E685C92_11</vt:lpwstr>
  </property>
  <property fmtid="{D5CDD505-2E9C-101B-9397-08002B2CF9AE}" pid="4" name="KSOTemplateDocerSaveRecord">
    <vt:lpwstr>eyJoZGlkIjoiOGFlZDBjMTkxMjAyY2VhMDJmNjJkYjY5NWY5ZGZmNGMiLCJ1c2VySWQiOiI0NTE5NDQwNTQifQ==</vt:lpwstr>
  </property>
</Properties>
</file>