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版本号：AYZB-2025-05220250905001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西安市长安区秦岭生态环境保护重载无人机购置项目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AYZB-2025-052</w:t>
      </w:r>
      <w:r>
        <w:br/>
      </w:r>
      <w:r>
        <w:br/>
      </w:r>
      <w:r>
        <w:br/>
      </w:r>
    </w:p>
    <w:p>
      <w:pPr>
        <w:pStyle w:val="null3"/>
        <w:jc w:val="center"/>
        <w:outlineLvl w:val="2"/>
      </w:pPr>
      <w:r>
        <w:rPr>
          <w:rFonts w:ascii="仿宋_GB2312" w:hAnsi="仿宋_GB2312" w:cs="仿宋_GB2312" w:eastAsia="仿宋_GB2312"/>
          <w:sz w:val="28"/>
          <w:b/>
        </w:rPr>
        <w:t>西安市长安区秦岭生态环境保护和综合执法局</w:t>
      </w:r>
    </w:p>
    <w:p>
      <w:pPr>
        <w:pStyle w:val="null3"/>
        <w:jc w:val="center"/>
        <w:outlineLvl w:val="2"/>
      </w:pPr>
      <w:r>
        <w:rPr>
          <w:rFonts w:ascii="仿宋_GB2312" w:hAnsi="仿宋_GB2312" w:cs="仿宋_GB2312" w:eastAsia="仿宋_GB2312"/>
          <w:sz w:val="28"/>
          <w:b/>
        </w:rPr>
        <w:t>安屹项目管理有限公司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安屹项目管理有限公司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西安市长安区秦岭生态环境保护和综合执法局</w:t>
      </w:r>
      <w:r>
        <w:rPr>
          <w:rFonts w:ascii="仿宋_GB2312" w:hAnsi="仿宋_GB2312" w:cs="仿宋_GB2312" w:eastAsia="仿宋_GB2312"/>
        </w:rPr>
        <w:t>委托，拟对</w:t>
      </w:r>
      <w:r>
        <w:rPr>
          <w:rFonts w:ascii="仿宋_GB2312" w:hAnsi="仿宋_GB2312" w:cs="仿宋_GB2312" w:eastAsia="仿宋_GB2312"/>
        </w:rPr>
        <w:t>西安市长安区秦岭生态环境保护重载无人机购置项目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AYZB-2025-052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西安市长安区秦岭生态环境保护重载无人机购置项目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西安市长安区秦岭生态环境保护重载无人机购置项目”，主要建设内容包括购置3台重载无人机及相关配套设备（智能飞行电池6块、智能抛投器3套）、无人机保险3项以及CAAC中型驾驶员执照培训3人。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证明：法定代表人授权书（附法定代表人、被授权人身份证复印件及被授权人在本单位近三个月内任意一个月的社保交纳证明）,法定代表人直接参加谈判，须提供法定代表人身份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西安市长安区秦岭生态环境保护和综合执法局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长安区新华街202号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安屹项目管理有限公司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陕西省西安市经济技术开发区文景商务广场C座2501室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029-88643256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采购包1：796,800.00元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国家发展改革委关于降低部分建设项目收费标准规范收费行为等有关问题的通知》(发改价格〔2011〕534号)等有关规定收费标准收取。招标代理服务费账户：开户行名称：安屹项目管理有限公司、开户行：中国民生银行股份有限公司西安汉城路支行、帐号：157 680 362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西安市长安区秦岭生态环境保护和综合执法局</w:t>
      </w:r>
      <w:r>
        <w:rPr>
          <w:rFonts w:ascii="仿宋_GB2312" w:hAnsi="仿宋_GB2312" w:cs="仿宋_GB2312" w:eastAsia="仿宋_GB2312"/>
        </w:rPr>
        <w:t>和</w:t>
      </w:r>
      <w:r>
        <w:rPr>
          <w:rFonts w:ascii="仿宋_GB2312" w:hAnsi="仿宋_GB2312" w:cs="仿宋_GB2312" w:eastAsia="仿宋_GB2312"/>
        </w:rPr>
        <w:t>安屹项目管理有限公司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西安市长安区秦岭生态环境保护和综合执法局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安屹项目管理有限公司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西安市长安区秦岭生态环境保护和综合执法局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安屹项目管理有限公司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达到国家或行业质量验收合格标准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联系电话：029-88643256</w:t>
      </w:r>
    </w:p>
    <w:p>
      <w:pPr>
        <w:pStyle w:val="null3"/>
      </w:pPr>
      <w:r>
        <w:rPr>
          <w:rFonts w:ascii="仿宋_GB2312" w:hAnsi="仿宋_GB2312" w:cs="仿宋_GB2312" w:eastAsia="仿宋_GB2312"/>
        </w:rPr>
        <w:t>地址：陕西省西安市经济技术开发区文景商务广场C座2501室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西安市长安区秦岭生态环境保护重载无人机购置项目”，主要建设内容包括购置3台重载无人机及相关配套设备（智能飞行电池6块、智能抛投器3套）、无人机保险3项以及CAAC中型驾驶员执照培训3人。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796,800.00</w:t>
      </w:r>
    </w:p>
    <w:p>
      <w:pPr>
        <w:pStyle w:val="null3"/>
      </w:pPr>
      <w:r>
        <w:rPr>
          <w:rFonts w:ascii="仿宋_GB2312" w:hAnsi="仿宋_GB2312" w:cs="仿宋_GB2312" w:eastAsia="仿宋_GB2312"/>
        </w:rPr>
        <w:t>采购包最高限价（元）: 796,800.00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无人机等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796,800.00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3"/>
              <w:gridCol w:w="501"/>
              <w:gridCol w:w="1378"/>
              <w:gridCol w:w="213"/>
              <w:gridCol w:w="248"/>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大载重无人机（核心产品）</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重载无人机技术规格</w:t>
                  </w:r>
                  <w:r>
                    <w:br/>
                  </w:r>
                  <w:r>
                    <w:rPr>
                      <w:rFonts w:ascii="仿宋_GB2312" w:hAnsi="仿宋_GB2312" w:cs="仿宋_GB2312" w:eastAsia="仿宋_GB2312"/>
                      <w:sz w:val="24"/>
                      <w:color w:val="000000"/>
                    </w:rPr>
                    <w:t>1、裸机重量（吊运负载）：≥53500克(不包含电池、双电电池仓及配件、吊绳、挂钩的重量）</w:t>
                  </w:r>
                  <w:r>
                    <w:br/>
                  </w:r>
                  <w:r>
                    <w:rPr>
                      <w:rFonts w:ascii="仿宋_GB2312" w:hAnsi="仿宋_GB2312" w:cs="仿宋_GB2312" w:eastAsia="仿宋_GB2312"/>
                      <w:sz w:val="24"/>
                      <w:color w:val="000000"/>
                    </w:rPr>
                    <w:t>2、●最大起飞重量：≥145000克</w:t>
                  </w:r>
                  <w:r>
                    <w:br/>
                  </w:r>
                  <w:r>
                    <w:rPr>
                      <w:rFonts w:ascii="仿宋_GB2312" w:hAnsi="仿宋_GB2312" w:cs="仿宋_GB2312" w:eastAsia="仿宋_GB2312"/>
                      <w:sz w:val="24"/>
                      <w:color w:val="000000"/>
                    </w:rPr>
                    <w:t>3、展开尺寸：≥长 3220 毫米，宽 3224 毫米，高 975 毫米（机臂展开，桨叶展开）</w:t>
                  </w:r>
                  <w:r>
                    <w:br/>
                  </w:r>
                  <w:r>
                    <w:rPr>
                      <w:rFonts w:ascii="仿宋_GB2312" w:hAnsi="仿宋_GB2312" w:cs="仿宋_GB2312" w:eastAsia="仿宋_GB2312"/>
                      <w:sz w:val="24"/>
                      <w:color w:val="000000"/>
                    </w:rPr>
                    <w:t>4、机载电池数量：支持双电、单电、单电模式为应急使用</w:t>
                  </w:r>
                  <w:r>
                    <w:br/>
                  </w:r>
                  <w:r>
                    <w:rPr>
                      <w:rFonts w:ascii="仿宋_GB2312" w:hAnsi="仿宋_GB2312" w:cs="仿宋_GB2312" w:eastAsia="仿宋_GB2312"/>
                      <w:sz w:val="24"/>
                      <w:color w:val="000000"/>
                    </w:rPr>
                    <w:t>5、●对角线:≥2300 毫米</w:t>
                  </w:r>
                  <w:r>
                    <w:br/>
                  </w:r>
                  <w:r>
                    <w:rPr>
                      <w:rFonts w:ascii="仿宋_GB2312" w:hAnsi="仿宋_GB2312" w:cs="仿宋_GB2312" w:eastAsia="仿宋_GB2312"/>
                      <w:sz w:val="24"/>
                      <w:color w:val="000000"/>
                    </w:rPr>
                    <w:t>6、●最大起飞海拔高度:≥5950 米</w:t>
                  </w:r>
                  <w:r>
                    <w:br/>
                  </w:r>
                  <w:r>
                    <w:rPr>
                      <w:rFonts w:ascii="仿宋_GB2312" w:hAnsi="仿宋_GB2312" w:cs="仿宋_GB2312" w:eastAsia="仿宋_GB2312"/>
                      <w:sz w:val="24"/>
                      <w:color w:val="000000"/>
                    </w:rPr>
                    <w:t>7、最大飞行时间：≥双电 14 分钟、单电 7 分钟（最大起飞重量下）</w:t>
                  </w:r>
                  <w:r>
                    <w:br/>
                  </w:r>
                  <w:r>
                    <w:rPr>
                      <w:rFonts w:ascii="仿宋_GB2312" w:hAnsi="仿宋_GB2312" w:cs="仿宋_GB2312" w:eastAsia="仿宋_GB2312"/>
                      <w:sz w:val="24"/>
                      <w:color w:val="000000"/>
                    </w:rPr>
                    <w:t>8、最大续航里程：≥双电 12 千米、单电 6 千米（最大起飞重量下）</w:t>
                  </w:r>
                  <w:r>
                    <w:br/>
                  </w:r>
                  <w:r>
                    <w:rPr>
                      <w:rFonts w:ascii="仿宋_GB2312" w:hAnsi="仿宋_GB2312" w:cs="仿宋_GB2312" w:eastAsia="仿宋_GB2312"/>
                      <w:sz w:val="24"/>
                      <w:color w:val="000000"/>
                    </w:rPr>
                    <w:t>9、●最大抗风速度：≥10 米/秒</w:t>
                  </w:r>
                  <w:r>
                    <w:br/>
                  </w:r>
                  <w:r>
                    <w:rPr>
                      <w:rFonts w:ascii="仿宋_GB2312" w:hAnsi="仿宋_GB2312" w:cs="仿宋_GB2312" w:eastAsia="仿宋_GB2312"/>
                      <w:sz w:val="24"/>
                      <w:color w:val="000000"/>
                    </w:rPr>
                    <w:t>10、●工作环境温度：-20℃ 至 40℃</w:t>
                  </w:r>
                  <w:r>
                    <w:br/>
                  </w:r>
                  <w:r>
                    <w:rPr>
                      <w:rFonts w:ascii="仿宋_GB2312" w:hAnsi="仿宋_GB2312" w:cs="仿宋_GB2312" w:eastAsia="仿宋_GB2312"/>
                      <w:sz w:val="24"/>
                      <w:color w:val="000000"/>
                    </w:rPr>
                    <w:t>11、IP 防护等级：≥IP55</w:t>
                  </w:r>
                  <w:r>
                    <w:br/>
                  </w:r>
                  <w:r>
                    <w:rPr>
                      <w:rFonts w:ascii="仿宋_GB2312" w:hAnsi="仿宋_GB2312" w:cs="仿宋_GB2312" w:eastAsia="仿宋_GB2312"/>
                      <w:sz w:val="24"/>
                      <w:color w:val="000000"/>
                    </w:rPr>
                    <w:t>12、起飞保护：飞行器起桨前，进行声光报警，同时在界面展示起桨倒计时和取消起飞提示</w:t>
                  </w:r>
                  <w:r>
                    <w:br/>
                  </w:r>
                  <w:r>
                    <w:rPr>
                      <w:rFonts w:ascii="仿宋_GB2312" w:hAnsi="仿宋_GB2312" w:cs="仿宋_GB2312" w:eastAsia="仿宋_GB2312"/>
                      <w:sz w:val="24"/>
                      <w:color w:val="000000"/>
                    </w:rPr>
                    <w:t>13、●地图打点：飞行器支持在遥控器地图画面进行目标打点，可记录目标点的经纬度信息</w:t>
                  </w:r>
                  <w:r>
                    <w:br/>
                  </w:r>
                  <w:r>
                    <w:rPr>
                      <w:rFonts w:ascii="仿宋_GB2312" w:hAnsi="仿宋_GB2312" w:cs="仿宋_GB2312" w:eastAsia="仿宋_GB2312"/>
                      <w:sz w:val="24"/>
                      <w:color w:val="000000"/>
                    </w:rPr>
                    <w:t>14、支持应急脱困模式，紧急情况下支持线缆熔断脱困</w:t>
                  </w:r>
                  <w:r>
                    <w:br/>
                  </w:r>
                  <w:r>
                    <w:rPr>
                      <w:rFonts w:ascii="仿宋_GB2312" w:hAnsi="仿宋_GB2312" w:cs="仿宋_GB2312" w:eastAsia="仿宋_GB2312"/>
                      <w:sz w:val="24"/>
                      <w:color w:val="000000"/>
                    </w:rPr>
                    <w:t>15、吊绳长度：≥10米</w:t>
                  </w:r>
                  <w:r>
                    <w:br/>
                  </w:r>
                  <w:r>
                    <w:rPr>
                      <w:rFonts w:ascii="仿宋_GB2312" w:hAnsi="仿宋_GB2312" w:cs="仿宋_GB2312" w:eastAsia="仿宋_GB2312"/>
                      <w:sz w:val="24"/>
                      <w:color w:val="000000"/>
                    </w:rPr>
                    <w:t>16、包含：变频充电站、遥控器。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无人机电池</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智能飞行电池技术规格</w:t>
                  </w:r>
                  <w:r>
                    <w:br/>
                  </w:r>
                  <w:r>
                    <w:rPr>
                      <w:rFonts w:ascii="仿宋_GB2312" w:hAnsi="仿宋_GB2312" w:cs="仿宋_GB2312" w:eastAsia="仿宋_GB2312"/>
                      <w:sz w:val="24"/>
                      <w:color w:val="000000"/>
                    </w:rPr>
                    <w:t>1、容量：≥39000毫安时</w:t>
                  </w:r>
                  <w:r>
                    <w:br/>
                  </w:r>
                  <w:r>
                    <w:rPr>
                      <w:rFonts w:ascii="仿宋_GB2312" w:hAnsi="仿宋_GB2312" w:cs="仿宋_GB2312" w:eastAsia="仿宋_GB2312"/>
                      <w:sz w:val="24"/>
                      <w:color w:val="000000"/>
                    </w:rPr>
                    <w:t>2、重量：≥14000 克</w:t>
                  </w:r>
                  <w:r>
                    <w:br/>
                  </w:r>
                  <w:r>
                    <w:rPr>
                      <w:rFonts w:ascii="仿宋_GB2312" w:hAnsi="仿宋_GB2312" w:cs="仿宋_GB2312" w:eastAsia="仿宋_GB2312"/>
                      <w:sz w:val="24"/>
                      <w:color w:val="000000"/>
                    </w:rPr>
                    <w:t>3、标称电压:≥45V</w:t>
                  </w:r>
                  <w:r>
                    <w:br/>
                  </w:r>
                  <w:r>
                    <w:rPr>
                      <w:rFonts w:ascii="仿宋_GB2312" w:hAnsi="仿宋_GB2312" w:cs="仿宋_GB2312" w:eastAsia="仿宋_GB2312"/>
                      <w:sz w:val="24"/>
                      <w:color w:val="000000"/>
                    </w:rPr>
                    <w:t>4、循环次数：≥1450 次循环（24 个月）</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抛投器</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智能抛投器技术规格</w:t>
                  </w:r>
                  <w:r>
                    <w:br/>
                  </w:r>
                  <w:r>
                    <w:rPr>
                      <w:rFonts w:ascii="仿宋_GB2312" w:hAnsi="仿宋_GB2312" w:cs="仿宋_GB2312" w:eastAsia="仿宋_GB2312"/>
                      <w:sz w:val="24"/>
                      <w:color w:val="000000"/>
                    </w:rPr>
                    <w:t>1、尺寸：≥长 460 毫米，宽 240 毫米，高 130 毫米</w:t>
                  </w:r>
                  <w:r>
                    <w:br/>
                  </w:r>
                  <w:r>
                    <w:rPr>
                      <w:rFonts w:ascii="仿宋_GB2312" w:hAnsi="仿宋_GB2312" w:cs="仿宋_GB2312" w:eastAsia="仿宋_GB2312"/>
                      <w:sz w:val="24"/>
                      <w:color w:val="000000"/>
                    </w:rPr>
                    <w:t>2、重量：≥3000克</w:t>
                  </w:r>
                  <w:r>
                    <w:br/>
                  </w:r>
                  <w:r>
                    <w:rPr>
                      <w:rFonts w:ascii="仿宋_GB2312" w:hAnsi="仿宋_GB2312" w:cs="仿宋_GB2312" w:eastAsia="仿宋_GB2312"/>
                      <w:sz w:val="24"/>
                      <w:color w:val="000000"/>
                    </w:rPr>
                    <w:t>3、●最大载重：≥单钩45000克</w:t>
                  </w:r>
                  <w:r>
                    <w:br/>
                  </w:r>
                  <w:r>
                    <w:rPr>
                      <w:rFonts w:ascii="仿宋_GB2312" w:hAnsi="仿宋_GB2312" w:cs="仿宋_GB2312" w:eastAsia="仿宋_GB2312"/>
                      <w:sz w:val="24"/>
                      <w:color w:val="000000"/>
                    </w:rPr>
                    <w:t>4、挂载数量：≥2个</w:t>
                  </w:r>
                  <w:r>
                    <w:br/>
                  </w:r>
                  <w:r>
                    <w:rPr>
                      <w:rFonts w:ascii="仿宋_GB2312" w:hAnsi="仿宋_GB2312" w:cs="仿宋_GB2312" w:eastAsia="仿宋_GB2312"/>
                      <w:sz w:val="24"/>
                      <w:color w:val="000000"/>
                    </w:rPr>
                    <w:t>5、工作温度：-20℃-45℃</w:t>
                  </w:r>
                  <w:r>
                    <w:br/>
                  </w:r>
                  <w:r>
                    <w:rPr>
                      <w:rFonts w:ascii="仿宋_GB2312" w:hAnsi="仿宋_GB2312" w:cs="仿宋_GB2312" w:eastAsia="仿宋_GB2312"/>
                      <w:sz w:val="24"/>
                      <w:color w:val="000000"/>
                    </w:rPr>
                    <w:t>6、控制方式：PSDK</w:t>
                  </w:r>
                  <w:r>
                    <w:br/>
                  </w:r>
                  <w:r>
                    <w:rPr>
                      <w:rFonts w:ascii="仿宋_GB2312" w:hAnsi="仿宋_GB2312" w:cs="仿宋_GB2312" w:eastAsia="仿宋_GB2312"/>
                      <w:sz w:val="24"/>
                      <w:color w:val="000000"/>
                    </w:rPr>
                    <w:t>7、●投放功能：序列式电控，可一次一路或一次多路方式自由组合</w:t>
                  </w:r>
                  <w:r>
                    <w:br/>
                  </w:r>
                  <w:r>
                    <w:rPr>
                      <w:rFonts w:ascii="仿宋_GB2312" w:hAnsi="仿宋_GB2312" w:cs="仿宋_GB2312" w:eastAsia="仿宋_GB2312"/>
                      <w:sz w:val="24"/>
                      <w:color w:val="000000"/>
                    </w:rPr>
                    <w:t>8、安全功能：具备安全开关、可在遥控器显示弹体状态。</w:t>
                  </w:r>
                  <w:r>
                    <w:br/>
                  </w:r>
                  <w:r>
                    <w:rPr>
                      <w:rFonts w:ascii="仿宋_GB2312" w:hAnsi="仿宋_GB2312" w:cs="仿宋_GB2312" w:eastAsia="仿宋_GB2312"/>
                      <w:sz w:val="24"/>
                      <w:color w:val="000000"/>
                    </w:rPr>
                    <w:t>9、灭火弹通信接口：1-4个四芯航空插座</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无人机保险</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无人机保险</w:t>
                  </w:r>
                  <w:r>
                    <w:br/>
                  </w:r>
                  <w:r>
                    <w:rPr>
                      <w:rFonts w:ascii="仿宋_GB2312" w:hAnsi="仿宋_GB2312" w:cs="仿宋_GB2312" w:eastAsia="仿宋_GB2312"/>
                      <w:sz w:val="24"/>
                      <w:color w:val="000000"/>
                    </w:rPr>
                    <w:t>1、机损险：提供原厂保险一年可享保障额度内不限次数免费维修服务(投标人提供承诺函)</w:t>
                  </w:r>
                  <w:r>
                    <w:br/>
                  </w:r>
                  <w:r>
                    <w:rPr>
                      <w:rFonts w:ascii="仿宋_GB2312" w:hAnsi="仿宋_GB2312" w:cs="仿宋_GB2312" w:eastAsia="仿宋_GB2312"/>
                      <w:sz w:val="24"/>
                      <w:color w:val="000000"/>
                    </w:rPr>
                    <w:t>2、三者险：提供三者险(投标人提供承诺函)</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无人机培训</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无人机操控执照培训</w:t>
                  </w:r>
                  <w:r>
                    <w:br/>
                  </w:r>
                  <w:r>
                    <w:rPr>
                      <w:rFonts w:ascii="仿宋_GB2312" w:hAnsi="仿宋_GB2312" w:cs="仿宋_GB2312" w:eastAsia="仿宋_GB2312"/>
                      <w:sz w:val="24"/>
                      <w:color w:val="000000"/>
                    </w:rPr>
                    <w:t>1、根据使用单位实际作业场景需要以及合规飞行，投标人需提供四类中型多旋翼视距内驾驶员执照培训考证服务</w:t>
                  </w:r>
                  <w:r>
                    <w:br/>
                  </w:r>
                  <w:r>
                    <w:rPr>
                      <w:rFonts w:ascii="仿宋_GB2312" w:hAnsi="仿宋_GB2312" w:cs="仿宋_GB2312" w:eastAsia="仿宋_GB2312"/>
                      <w:sz w:val="24"/>
                      <w:color w:val="000000"/>
                    </w:rPr>
                    <w:t>2、●投标人需具备由中国民用航空局颁发的有效期内《民用无人驾驶航空器运营合格证》、批准从事无人机培训类业务(原件备查)</w:t>
                  </w:r>
                  <w:r>
                    <w:br/>
                  </w:r>
                  <w:r>
                    <w:rPr>
                      <w:rFonts w:ascii="仿宋_GB2312" w:hAnsi="仿宋_GB2312" w:cs="仿宋_GB2312" w:eastAsia="仿宋_GB2312"/>
                      <w:sz w:val="24"/>
                      <w:color w:val="000000"/>
                    </w:rPr>
                    <w:t>3、●针对本项目无人机操控执照培训服务要求，投标人需具备民航教官级别的报考资质(提供证明材料)</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说明</w:t>
                  </w:r>
                  <w:r>
                    <w:rPr>
                      <w:rFonts w:ascii="仿宋_GB2312" w:hAnsi="仿宋_GB2312" w:cs="仿宋_GB2312" w:eastAsia="仿宋_GB2312"/>
                      <w:sz w:val="24"/>
                      <w:color w:val="000000"/>
                    </w:rPr>
                    <w:t>:1、标“●”技术参数须提供证明材料，否则按废标处理。证明材料不限于检测报告/产品官网截图/用户使用说明书/产品使用说明书/技术规格书/产品彩页等。</w:t>
                  </w:r>
                </w:p>
                <w:p>
                  <w:pPr>
                    <w:pStyle w:val="null3"/>
                    <w:jc w:val="left"/>
                  </w:pPr>
                  <w:r>
                    <w:rPr>
                      <w:rFonts w:ascii="仿宋_GB2312" w:hAnsi="仿宋_GB2312" w:cs="仿宋_GB2312" w:eastAsia="仿宋_GB2312"/>
                      <w:sz w:val="24"/>
                      <w:color w:val="000000"/>
                    </w:rPr>
                    <w:t>2.以上所有技术参数为实质性响应条款，不能出现负偏离，若有一条负偏离，则按废标处理。</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合同签订之日起30个日历日内交货验收。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西安市长安区秦岭生态环境保护和综合执法局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货物全部运到采购人指定地方，交货完毕经验收合格，且培训人员取得无人机操控执照后，卖方持《验收合格单》原件和等额发票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在验收合格使用半年后，卖方持等额发票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自验收结束之日起至质保期满后，在无索赔争议的情况下，持等额发票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终验：所有货物交货完毕，正常使用10个日历日后，由采购人进行终验（最终验收），合格后签发《验收合格单》。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3.2产品的合法来源渠道证明文件、响应功能证明材料； 3.3竞争性谈判文件； 3.4成交人的竞争性谈判响应文件；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1.质保期为终验合格后不少于12个月。成交人承诺的质保时间超过竞争性谈判文件要求的，按其承诺时间质保。 2.成交人承诺的质保期起始时间为终验合格之日。 3.所有产品质量必须符合国家有关规范和相关政策。所有设备及辅材必须是未使用过的新产品，质量优良、渠道正当，配置合理。 4.质保期出现的质量问题由成交人负责解决并承担所有费用。质保期后如需更换零部件，成交人应以优惠价提供。</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中华人民共和国政府采购法实施条例》及其他相关法律文件和本合同约定，成交供应商未全面履行合同义务者发生违约，采购单位会同采购代 理机构有权终止合同，依法向成交供应商进行经济索赔，并报请政府采购监督管理机关进行相应的行政处罚。采购单位违约的，应当赔偿给成交供应商造成的经济损失。2、因货物质量问题发生争议的，应邀请国家认可的质量检测机构对货物质量进行鉴定。货物符合标准的，鉴定费由甲方承担；货物不符合标准的，鉴定费由乙方承担。3、解决争议的方法：合同执行中发生争议的，当事人双方应协商解决。协商达不成一致时，可依法向甲方所在地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1.成交人在领取成交通知书时提供三份纸质响应文件及电子响应文件二份（U盘；电子响应文件为Word版本和PDF版本，PDF文件为签字、盖章的完整正本扫描件）。 装订：纸质响应文件采用书籍（胶装）方式装订成册，与电子响应文件一致的签字、盖章的完整版本。 2.纸质版投标文件采用双面打印，可以使用电子化交易系统上传的签章版打印。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提供供应商合法注册的法人或其他组织的营业执照/事业单位法人证书/非企业专业服务机构执业许可证/民办非企业单位登记证书，自然人参与的提供其身份证明。（2）财务状况报告：提供具有财务审计资质单位出具的2023年度或2024年度财务报告（成立时间至谈判时间不足一年的可提供成立后任意时段的资产负债表）或谈判前六个月内其基本账户银行出具的资信证明或政府采购信用担保机构出具的谈判担保函。（3）税收缴纳证明：提供截止至谈判时间前六个月内任意一个月的缴纳凭据；（增值税、企业所得税至少提供一种，依法免税的投标人应提供相关文件证明）。（4）社会保障资金缴纳证明：提供截止至谈判时间前六个月内任意一个月的社保缴费凭据或社保机构开具的社会保险参保缴费情况证明，依法不需要缴纳社会保障资金的供应商应提供相关证明。（5）提供具有履行本合同所必需的设备和专业技术能力的说明及承诺；（提供书面说明及承诺，加盖供应商公章）（6）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财务审计资质单位出具的2023年度或2024年度财务报告（成立时间至谈判时间不足一年的可提供成立后任意时段的资产负债表）或谈判前六个月内其基本账户银行出具的资信证明或政府采购信用担保机构出具的谈判担保函。</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法定代表人授权书（附法定代表人、被授权人身份证复印件及被授权人在本单位近三个月内任意一个月的社保交纳证明）,法定代表人直接参加谈判，须提供法定代表人身份证明。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谈判响应文件盖章签字</w:t>
            </w:r>
          </w:p>
        </w:tc>
        <w:tc>
          <w:tcPr>
            <w:tcW w:type="dxa" w:w="3322"/>
          </w:tcPr>
          <w:p>
            <w:pPr>
              <w:pStyle w:val="null3"/>
            </w:pPr>
            <w:r>
              <w:rPr>
                <w:rFonts w:ascii="仿宋_GB2312" w:hAnsi="仿宋_GB2312" w:cs="仿宋_GB2312" w:eastAsia="仿宋_GB2312"/>
              </w:rPr>
              <w:t>按照竞争性谈判文件的规定和要求，在指定的页面落款处加盖公章并由法定代表人或被授权人签字（或盖章）。</w:t>
            </w:r>
          </w:p>
        </w:tc>
        <w:tc>
          <w:tcPr>
            <w:tcW w:type="dxa" w:w="1661"/>
          </w:tcPr>
          <w:p>
            <w:pPr>
              <w:pStyle w:val="null3"/>
            </w:pPr>
            <w:r>
              <w:rPr>
                <w:rFonts w:ascii="仿宋_GB2312" w:hAnsi="仿宋_GB2312" w:cs="仿宋_GB2312" w:eastAsia="仿宋_GB2312"/>
              </w:rPr>
              <w:t>中小企业声明函 承诺书.docx 报价表 商务条款响应偏离表.docx 技术条款响应偏离表.docx 明细表.docx 响应文件封面 技术响应方案.docx 残疾人福利性单位声明函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磋谈判有效期</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第一次谈判报价</w:t>
            </w:r>
          </w:p>
        </w:tc>
        <w:tc>
          <w:tcPr>
            <w:tcW w:type="dxa" w:w="3322"/>
          </w:tcPr>
          <w:p>
            <w:pPr>
              <w:pStyle w:val="null3"/>
            </w:pPr>
            <w:r>
              <w:rPr>
                <w:rFonts w:ascii="仿宋_GB2312" w:hAnsi="仿宋_GB2312" w:cs="仿宋_GB2312" w:eastAsia="仿宋_GB2312"/>
              </w:rPr>
              <w:t>（1）第一次谈判报价表填写符合要求； （2）计量单位、报价形式均符合谈判文件要求；（3）第一次谈判报价未超出最高限价。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商务条款及技术条款</w:t>
            </w:r>
          </w:p>
        </w:tc>
        <w:tc>
          <w:tcPr>
            <w:tcW w:type="dxa" w:w="3322"/>
          </w:tcPr>
          <w:p>
            <w:pPr>
              <w:pStyle w:val="null3"/>
            </w:pPr>
            <w:r>
              <w:rPr>
                <w:rFonts w:ascii="仿宋_GB2312" w:hAnsi="仿宋_GB2312" w:cs="仿宋_GB2312" w:eastAsia="仿宋_GB2312"/>
              </w:rPr>
              <w:t>完全响应或优于谈判文件商务条款及技术条款的要求、技术资料齐全且无负偏离。技术资料指标完全满足谈判文件，真实有效无虚假。</w:t>
            </w:r>
          </w:p>
        </w:tc>
        <w:tc>
          <w:tcPr>
            <w:tcW w:type="dxa" w:w="1661"/>
          </w:tcPr>
          <w:p>
            <w:pPr>
              <w:pStyle w:val="null3"/>
            </w:pPr>
            <w:r>
              <w:rPr>
                <w:rFonts w:ascii="仿宋_GB2312" w:hAnsi="仿宋_GB2312" w:cs="仿宋_GB2312" w:eastAsia="仿宋_GB2312"/>
              </w:rPr>
              <w:t>技术响应方案.docx 商务条款响应偏离表.docx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产品的合法来源渠道证明文件</w:t>
            </w:r>
          </w:p>
        </w:tc>
        <w:tc>
          <w:tcPr>
            <w:tcW w:type="dxa" w:w="3322"/>
          </w:tcPr>
          <w:p>
            <w:pPr>
              <w:pStyle w:val="null3"/>
            </w:pPr>
            <w:r>
              <w:rPr>
                <w:rFonts w:ascii="仿宋_GB2312" w:hAnsi="仿宋_GB2312" w:cs="仿宋_GB2312" w:eastAsia="仿宋_GB2312"/>
              </w:rPr>
              <w:t>大载重无人机的合法来源渠道证明文件（包括但不限于厂家授权书、代理协议、销售协议等）</w:t>
            </w:r>
          </w:p>
        </w:tc>
        <w:tc>
          <w:tcPr>
            <w:tcW w:type="dxa" w:w="1661"/>
          </w:tcPr>
          <w:p>
            <w:pPr>
              <w:pStyle w:val="null3"/>
            </w:pPr>
            <w:r>
              <w:rPr>
                <w:rFonts w:ascii="仿宋_GB2312" w:hAnsi="仿宋_GB2312" w:cs="仿宋_GB2312" w:eastAsia="仿宋_GB2312"/>
              </w:rPr>
              <w:t>响应文件封面 技术响应方案.docx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没有出现法律法规或谈判文件明确规定的其他被视为“无效响应”的情形及未实质性响应谈判文件的情况。</w:t>
            </w:r>
          </w:p>
        </w:tc>
        <w:tc>
          <w:tcPr>
            <w:tcW w:type="dxa" w:w="1661"/>
          </w:tcPr>
          <w:p>
            <w:pPr>
              <w:pStyle w:val="null3"/>
            </w:pPr>
            <w:r>
              <w:rPr>
                <w:rFonts w:ascii="仿宋_GB2312" w:hAnsi="仿宋_GB2312" w:cs="仿宋_GB2312" w:eastAsia="仿宋_GB2312"/>
              </w:rPr>
              <w:t>中小企业声明函 承诺书.docx 报价表 商务条款响应偏离表.docx 技术条款响应偏离表.docx 明细表.docx 响应文件封面 技术响应方案.docx 残疾人福利性单位声明函 标的清单 供应商应提交的相关资格证明文件.docx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政府采购促进中小企业发展管理办法》（财库〔2020〕46号）、《陕西省财政厅关于进一步加大政府采购支持中小企业力度的通知》（陕财办采〔2022〕5号）的文件规定，对于非专门面向中小企业的项目，对小型、微型企业的价格给予10%的扣除，用扣除后的价格参与评审，其评标价=最终谈判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 明细表.docx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详见附件：明细表.docx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