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版本号：SCZA2025-CS-2325-00120250907001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2025年其他自然保护地和野生动植物保护（古树名木保护）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SCZA2025-CS-2325-001</w:t>
      </w:r>
      <w:r>
        <w:br/>
      </w:r>
      <w:r>
        <w:br/>
      </w:r>
      <w:r>
        <w:br/>
      </w:r>
    </w:p>
    <w:p>
      <w:pPr>
        <w:pStyle w:val="null3"/>
        <w:jc w:val="center"/>
        <w:outlineLvl w:val="2"/>
      </w:pPr>
      <w:r>
        <w:rPr>
          <w:rFonts w:ascii="仿宋_GB2312" w:hAnsi="仿宋_GB2312" w:cs="仿宋_GB2312" w:eastAsia="仿宋_GB2312"/>
          <w:sz w:val="28"/>
          <w:b/>
        </w:rPr>
        <w:t>西安市长安区林业工作站</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西安市长安区林业工作站</w:t>
      </w:r>
      <w:r>
        <w:rPr>
          <w:rFonts w:ascii="仿宋_GB2312" w:hAnsi="仿宋_GB2312" w:cs="仿宋_GB2312" w:eastAsia="仿宋_GB2312"/>
        </w:rPr>
        <w:t>委托，拟对</w:t>
      </w:r>
      <w:r>
        <w:rPr>
          <w:rFonts w:ascii="仿宋_GB2312" w:hAnsi="仿宋_GB2312" w:cs="仿宋_GB2312" w:eastAsia="仿宋_GB2312"/>
        </w:rPr>
        <w:t>2025年其他自然保护地和野生动植物保护（古树名木保护）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SCZA2025-CS-2325-001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2025年其他自然保护地和野生动植物保护（古树名木保护）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主要对4株特级2株一级古树名木的抢救复壮等在工作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采购包1（2025年其他自然保护地和野生动植物保护（古树名木保护））：属于专门面向中小企业采购。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1、信用记录：供应商未被“信用中国”网站（www.creditchina.gov.cn）列入失信被执行人和重大税收违法失信主体，未被中国政府采购网（www.ccgp.gov.cn）列入政府采购严重违法失信行为记录名单；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西安市长安区林业工作站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西安市长安区新华街202号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029-85943179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有关规定计取招标代理费，不足5000元按5000元收取。以项目实际成交金额为基数计算代理服务费，成交供应商须在领取成交通知书前一次性向受托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西安市长安区林业工作站</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西安市长安区林业工作站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西安市长安区林业工作站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主要对</w:t>
      </w:r>
      <w:r>
        <w:rPr>
          <w:rFonts w:ascii="仿宋_GB2312" w:hAnsi="仿宋_GB2312" w:cs="仿宋_GB2312" w:eastAsia="仿宋_GB2312"/>
          <w:sz w:val="24"/>
        </w:rPr>
        <w:t>4株特级2株一级古树名木的抢救复壮</w:t>
      </w: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470000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标的名称：470000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建设内容：</w:t>
            </w:r>
          </w:p>
          <w:p>
            <w:pPr>
              <w:pStyle w:val="null3"/>
              <w:ind w:firstLine="480"/>
              <w:jc w:val="left"/>
            </w:pPr>
            <w:r>
              <w:rPr>
                <w:rFonts w:ascii="仿宋_GB2312" w:hAnsi="仿宋_GB2312" w:cs="仿宋_GB2312" w:eastAsia="仿宋_GB2312"/>
                <w:sz w:val="24"/>
              </w:rPr>
              <w:t>对长安区大兆街道庞留村国槐树（编号</w:t>
            </w:r>
            <w:r>
              <w:rPr>
                <w:rFonts w:ascii="仿宋_GB2312" w:hAnsi="仿宋_GB2312" w:cs="仿宋_GB2312" w:eastAsia="仿宋_GB2312"/>
                <w:sz w:val="24"/>
              </w:rPr>
              <w:t>61011600001）；黄良街办湖村小学白皮松树（编号 61011600043）、滦镇街办甘泉街西口圆柏树（编号 61011600056）、滦镇街办中心街西口庙门前圆柏树（ 编 号 61011600057 ） 、 砲 里 街 道 西 垇 村 国 槐 树 （ 编 号 61011600079）、韦曲街办富丽城黄河小学对面皂荚树（编</w:t>
            </w:r>
            <w:r>
              <w:rPr>
                <w:rFonts w:ascii="仿宋_GB2312" w:hAnsi="仿宋_GB2312" w:cs="仿宋_GB2312" w:eastAsia="仿宋_GB2312"/>
                <w:sz w:val="24"/>
              </w:rPr>
              <w:t>号</w:t>
            </w:r>
            <w:r>
              <w:rPr>
                <w:rFonts w:ascii="仿宋_GB2312" w:hAnsi="仿宋_GB2312" w:cs="仿宋_GB2312" w:eastAsia="仿宋_GB2312"/>
                <w:sz w:val="24"/>
              </w:rPr>
              <w:t>61011600139）的六棵古树进行实地调查，掌握古树树龄、长势、病虫害等现状，针对枝条干枯断裂、树干树枝腐朽、周边环境破坏、 土壤板结退化等问题，实施全方位保护；对老化、受损枝条进行科学修剪，清理枯枝并涂抹伤口愈合剂；支撑加固脆弱枝干、对树体空洞、腐朽部位进行清理及仿真修补；划定古树保护区域，移除周边违建、拆除地砖铺设地面，恢复透水透气生长环境；增设围栏、 警示牌、监控防止人为破坏；打孔透气等方式改善土壤结构，增强保水保肥能力；同时建立动态监测系统，定期跟踪古树生长状况， 确保保护措施持续发挥实效，为古树生长创造良好条</w:t>
            </w:r>
            <w:r>
              <w:rPr>
                <w:rFonts w:ascii="仿宋_GB2312" w:hAnsi="仿宋_GB2312" w:cs="仿宋_GB2312" w:eastAsia="仿宋_GB2312"/>
                <w:sz w:val="24"/>
              </w:rPr>
              <w:t>件。</w:t>
            </w:r>
            <w:r>
              <w:rPr>
                <w:rFonts w:ascii="仿宋_GB2312" w:hAnsi="仿宋_GB2312" w:cs="仿宋_GB2312" w:eastAsia="仿宋_GB2312"/>
                <w:sz w:val="24"/>
                <w:b/>
              </w:rPr>
              <w:t>具体的古树现状及实施方案、保护方案、措施方案、建设内容、验收方案等均符合《</w:t>
            </w:r>
            <w:r>
              <w:rPr>
                <w:rFonts w:ascii="仿宋_GB2312" w:hAnsi="仿宋_GB2312" w:cs="仿宋_GB2312" w:eastAsia="仿宋_GB2312"/>
                <w:sz w:val="24"/>
                <w:b/>
              </w:rPr>
              <w:t>长安区</w:t>
            </w:r>
            <w:r>
              <w:rPr>
                <w:rFonts w:ascii="仿宋_GB2312" w:hAnsi="仿宋_GB2312" w:cs="仿宋_GB2312" w:eastAsia="仿宋_GB2312"/>
                <w:sz w:val="24"/>
                <w:b/>
              </w:rPr>
              <w:t>2025 年林业草原生态保护恢复资金古树名木保护项目实施方案</w:t>
            </w:r>
            <w:r>
              <w:rPr>
                <w:rFonts w:ascii="仿宋_GB2312" w:hAnsi="仿宋_GB2312" w:cs="仿宋_GB2312" w:eastAsia="仿宋_GB2312"/>
                <w:sz w:val="24"/>
                <w:b/>
              </w:rPr>
              <w:t>》的要求。</w:t>
            </w:r>
          </w:p>
          <w:p>
            <w:pPr>
              <w:pStyle w:val="null3"/>
              <w:ind w:firstLine="480"/>
              <w:jc w:val="left"/>
            </w:pPr>
            <w:r>
              <w:rPr>
                <w:rFonts w:ascii="仿宋_GB2312" w:hAnsi="仿宋_GB2312" w:cs="仿宋_GB2312" w:eastAsia="仿宋_GB2312"/>
                <w:sz w:val="24"/>
              </w:rPr>
              <w:t>2.项目建设背景</w:t>
            </w:r>
          </w:p>
          <w:p>
            <w:pPr>
              <w:pStyle w:val="null3"/>
            </w:pPr>
            <w:r>
              <w:rPr>
                <w:rFonts w:ascii="仿宋_GB2312" w:hAnsi="仿宋_GB2312" w:cs="仿宋_GB2312" w:eastAsia="仿宋_GB2312"/>
              </w:rPr>
              <w:t xml:space="preserve">  </w:t>
            </w:r>
            <w:r>
              <w:rPr>
                <w:rFonts w:ascii="仿宋_GB2312" w:hAnsi="仿宋_GB2312" w:cs="仿宋_GB2312" w:eastAsia="仿宋_GB2312"/>
                <w:sz w:val="24"/>
              </w:rPr>
              <w:t>2025 年 3 月 15 日，《古树名木保护条例》正式施行，规定县级以上人民政府应当将开展古树名木保护管理工作所需经费列入本级预算。《西安市古树名木保护条例》也要求市、区县人民政府将古树名木保护经费列入本级财政预算，用于养护补助等工作。 古树保护现状需求：长安区古树名木存量大，现有散生古树名 木 267 株，还有 3 个古树名木群。此前，长安区部分古树存在枯死、 人为砍伐、病虫害、树干折断等管护不到位的情况，需要资金进行抢救、复壮和日常养护。 提升管护水平需要：为加强古树名木保护，长安区开展了专项行动，推进建立智慧化监测系统，完善林长制工作实施方案等，这些工作的开展需要财政资金支持，以保障古树名木得到长期有效的管护。</w:t>
            </w:r>
          </w:p>
          <w:p>
            <w:pPr>
              <w:pStyle w:val="null3"/>
            </w:pPr>
            <w:r>
              <w:rPr>
                <w:rFonts w:ascii="仿宋_GB2312" w:hAnsi="仿宋_GB2312" w:cs="仿宋_GB2312" w:eastAsia="仿宋_GB2312"/>
                <w:sz w:val="24"/>
              </w:rPr>
              <w:t>3.</w:t>
            </w:r>
            <w:r>
              <w:rPr>
                <w:rFonts w:ascii="仿宋_GB2312" w:hAnsi="仿宋_GB2312" w:cs="仿宋_GB2312" w:eastAsia="仿宋_GB2312"/>
                <w:sz w:val="24"/>
              </w:rPr>
              <w:t>保护原则</w:t>
            </w:r>
          </w:p>
          <w:p>
            <w:pPr>
              <w:pStyle w:val="null3"/>
              <w:ind w:firstLine="480"/>
            </w:pPr>
            <w:r>
              <w:rPr>
                <w:rFonts w:ascii="仿宋_GB2312" w:hAnsi="仿宋_GB2312" w:cs="仿宋_GB2312" w:eastAsia="仿宋_GB2312"/>
                <w:sz w:val="24"/>
              </w:rPr>
              <w:t>对辖区内</w:t>
            </w:r>
            <w:r>
              <w:rPr>
                <w:rFonts w:ascii="仿宋_GB2312" w:hAnsi="仿宋_GB2312" w:cs="仿宋_GB2312" w:eastAsia="仿宋_GB2312"/>
                <w:sz w:val="24"/>
              </w:rPr>
              <w:t>6 棵古树开展保护，应以古树生长发育的需要为基础， 结合古树名木生长发育遇到的具体问题，以及它们特定的生长环境， 以改善生存条件、促进恢复树势，延长古树的生长寿命为目的，同时考虑古树名木的旅游观光需要，进行抢救保护。</w:t>
            </w:r>
            <w:r>
              <w:rPr>
                <w:rFonts w:ascii="仿宋_GB2312" w:hAnsi="仿宋_GB2312" w:cs="仿宋_GB2312" w:eastAsia="仿宋_GB2312"/>
                <w:sz w:val="24"/>
              </w:rPr>
              <w:t>具体的现状及实施、验收方案均需要符合《</w:t>
            </w:r>
            <w:r>
              <w:rPr>
                <w:rFonts w:ascii="仿宋_GB2312" w:hAnsi="仿宋_GB2312" w:cs="仿宋_GB2312" w:eastAsia="仿宋_GB2312"/>
                <w:sz w:val="24"/>
              </w:rPr>
              <w:t>长安区</w:t>
            </w:r>
            <w:r>
              <w:rPr>
                <w:rFonts w:ascii="仿宋_GB2312" w:hAnsi="仿宋_GB2312" w:cs="仿宋_GB2312" w:eastAsia="仿宋_GB2312"/>
                <w:sz w:val="24"/>
              </w:rPr>
              <w:t>2025 年林业草原生态保护恢复资金 古树名木保护项目实施方案</w:t>
            </w:r>
            <w:r>
              <w:rPr>
                <w:rFonts w:ascii="仿宋_GB2312" w:hAnsi="仿宋_GB2312" w:cs="仿宋_GB2312" w:eastAsia="仿宋_GB2312"/>
                <w:sz w:val="24"/>
              </w:rPr>
              <w:t>》的要求。</w:t>
            </w:r>
          </w:p>
          <w:p>
            <w:pPr>
              <w:pStyle w:val="null3"/>
              <w:ind w:firstLine="480"/>
            </w:pPr>
            <w:r>
              <w:rPr>
                <w:rFonts w:ascii="仿宋_GB2312" w:hAnsi="仿宋_GB2312" w:cs="仿宋_GB2312" w:eastAsia="仿宋_GB2312"/>
                <w:sz w:val="24"/>
              </w:rPr>
              <w:t>4.古树现状简介：</w:t>
            </w:r>
          </w:p>
          <w:p>
            <w:pPr>
              <w:pStyle w:val="null3"/>
            </w:pPr>
            <w:r>
              <w:rPr>
                <w:rFonts w:ascii="仿宋_GB2312" w:hAnsi="仿宋_GB2312" w:cs="仿宋_GB2312" w:eastAsia="仿宋_GB2312"/>
                <w:sz w:val="24"/>
                <w:b/>
              </w:rPr>
              <w:t>4.1</w:t>
            </w:r>
            <w:r>
              <w:rPr>
                <w:rFonts w:ascii="仿宋_GB2312" w:hAnsi="仿宋_GB2312" w:cs="仿宋_GB2312" w:eastAsia="仿宋_GB2312"/>
                <w:sz w:val="24"/>
                <w:b/>
              </w:rPr>
              <w:t>编号</w:t>
            </w:r>
            <w:r>
              <w:rPr>
                <w:rFonts w:ascii="仿宋_GB2312" w:hAnsi="仿宋_GB2312" w:cs="仿宋_GB2312" w:eastAsia="仿宋_GB2312"/>
                <w:sz w:val="24"/>
                <w:b/>
              </w:rPr>
              <w:t xml:space="preserve"> 61011600001 国槐树基本情况及现状</w:t>
            </w:r>
            <w:r>
              <w:rPr>
                <w:rFonts w:ascii="仿宋_GB2312" w:hAnsi="仿宋_GB2312" w:cs="仿宋_GB2312" w:eastAsia="仿宋_GB2312"/>
                <w:sz w:val="24"/>
                <w:b/>
              </w:rPr>
              <w:t>：</w:t>
            </w:r>
          </w:p>
          <w:p>
            <w:pPr>
              <w:pStyle w:val="null3"/>
              <w:numPr>
                <w:ilvl w:val="0"/>
                <w:numId w:val="1"/>
              </w:numPr>
            </w:pPr>
            <w:r>
              <w:rPr>
                <w:rFonts w:ascii="仿宋_GB2312" w:hAnsi="仿宋_GB2312" w:cs="仿宋_GB2312" w:eastAsia="仿宋_GB2312"/>
                <w:sz w:val="24"/>
              </w:rPr>
              <w:t>树池狭小、硬化铺装压迫根系；</w:t>
            </w:r>
          </w:p>
          <w:p>
            <w:pPr>
              <w:pStyle w:val="null3"/>
              <w:numPr>
                <w:ilvl w:val="0"/>
                <w:numId w:val="1"/>
              </w:numPr>
            </w:pPr>
            <w:r>
              <w:rPr>
                <w:rFonts w:ascii="仿宋_GB2312" w:hAnsi="仿宋_GB2312" w:cs="仿宋_GB2312" w:eastAsia="仿宋_GB2312"/>
                <w:sz w:val="24"/>
              </w:rPr>
              <w:t>土壤贫瘠、对古树营养供给不足，土壤僵硬板结；</w:t>
            </w:r>
          </w:p>
          <w:p>
            <w:pPr>
              <w:pStyle w:val="null3"/>
              <w:numPr>
                <w:ilvl w:val="0"/>
                <w:numId w:val="1"/>
              </w:numPr>
            </w:pPr>
            <w:r>
              <w:rPr>
                <w:rFonts w:ascii="仿宋_GB2312" w:hAnsi="仿宋_GB2312" w:cs="仿宋_GB2312" w:eastAsia="仿宋_GB2312"/>
                <w:sz w:val="24"/>
              </w:rPr>
              <w:t>主干感染病菌导致大面积空腐；</w:t>
            </w:r>
          </w:p>
          <w:p>
            <w:pPr>
              <w:pStyle w:val="null3"/>
              <w:numPr>
                <w:ilvl w:val="0"/>
                <w:numId w:val="1"/>
              </w:numPr>
            </w:pPr>
            <w:r>
              <w:rPr>
                <w:rFonts w:ascii="仿宋_GB2312" w:hAnsi="仿宋_GB2312" w:cs="仿宋_GB2312" w:eastAsia="仿宋_GB2312"/>
                <w:sz w:val="24"/>
              </w:rPr>
              <w:t>树根周围地势低，雨水无法排出，长时间导致根系泡水退化、</w:t>
            </w:r>
            <w:r>
              <w:rPr>
                <w:rFonts w:ascii="仿宋_GB2312" w:hAnsi="仿宋_GB2312" w:cs="仿宋_GB2312" w:eastAsia="仿宋_GB2312"/>
                <w:sz w:val="24"/>
              </w:rPr>
              <w:t>稳固性差；</w:t>
            </w:r>
          </w:p>
          <w:p>
            <w:pPr>
              <w:pStyle w:val="null3"/>
              <w:numPr>
                <w:ilvl w:val="0"/>
                <w:numId w:val="1"/>
              </w:numPr>
            </w:pPr>
            <w:r>
              <w:rPr>
                <w:rFonts w:ascii="仿宋_GB2312" w:hAnsi="仿宋_GB2312" w:cs="仿宋_GB2312" w:eastAsia="仿宋_GB2312"/>
                <w:sz w:val="24"/>
              </w:rPr>
              <w:t>主干及一级分枝倾倒严重，需要做支撑保护；</w:t>
            </w:r>
          </w:p>
          <w:p>
            <w:pPr>
              <w:pStyle w:val="null3"/>
              <w:numPr>
                <w:ilvl w:val="0"/>
                <w:numId w:val="1"/>
              </w:numPr>
            </w:pPr>
            <w:r>
              <w:rPr>
                <w:rFonts w:ascii="仿宋_GB2312" w:hAnsi="仿宋_GB2312" w:cs="仿宋_GB2312" w:eastAsia="仿宋_GB2312"/>
                <w:sz w:val="24"/>
              </w:rPr>
              <w:t>现有保护措施不足；</w:t>
            </w:r>
          </w:p>
          <w:p>
            <w:pPr>
              <w:pStyle w:val="null3"/>
              <w:numPr>
                <w:ilvl w:val="0"/>
                <w:numId w:val="1"/>
              </w:numPr>
            </w:pPr>
            <w:r>
              <w:rPr>
                <w:rFonts w:ascii="仿宋_GB2312" w:hAnsi="仿宋_GB2312" w:cs="仿宋_GB2312" w:eastAsia="仿宋_GB2312"/>
                <w:sz w:val="24"/>
              </w:rPr>
              <w:t>当地村民对古树保护意识薄弱，对保护古树的政策法规不够</w:t>
            </w:r>
            <w:r>
              <w:rPr>
                <w:rFonts w:ascii="仿宋_GB2312" w:hAnsi="仿宋_GB2312" w:cs="仿宋_GB2312" w:eastAsia="仿宋_GB2312"/>
                <w:sz w:val="24"/>
              </w:rPr>
              <w:t>了解，对古树生长环境造成无意识的影响和破坏。</w:t>
            </w:r>
          </w:p>
          <w:p>
            <w:pPr>
              <w:pStyle w:val="null3"/>
            </w:pPr>
            <w:r>
              <w:rPr>
                <w:rFonts w:ascii="仿宋_GB2312" w:hAnsi="仿宋_GB2312" w:cs="仿宋_GB2312" w:eastAsia="仿宋_GB2312"/>
                <w:sz w:val="24"/>
              </w:rPr>
              <w:t>4.2</w:t>
            </w:r>
            <w:r>
              <w:rPr>
                <w:rFonts w:ascii="仿宋_GB2312" w:hAnsi="仿宋_GB2312" w:cs="仿宋_GB2312" w:eastAsia="仿宋_GB2312"/>
                <w:sz w:val="24"/>
              </w:rPr>
              <w:t>编号</w:t>
            </w:r>
            <w:r>
              <w:rPr>
                <w:rFonts w:ascii="仿宋_GB2312" w:hAnsi="仿宋_GB2312" w:cs="仿宋_GB2312" w:eastAsia="仿宋_GB2312"/>
                <w:sz w:val="24"/>
              </w:rPr>
              <w:t xml:space="preserve"> 61011600043 白皮松树基本情况及现状</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树身主干一半枯死，且大面积腐朽；原有保护措施不当，造</w:t>
            </w:r>
            <w:r>
              <w:rPr>
                <w:rFonts w:ascii="仿宋_GB2312" w:hAnsi="仿宋_GB2312" w:cs="仿宋_GB2312" w:eastAsia="仿宋_GB2312"/>
                <w:sz w:val="24"/>
              </w:rPr>
              <w:t>成古树自身负担增加，需要重新修补。</w:t>
            </w:r>
          </w:p>
          <w:p>
            <w:pPr>
              <w:pStyle w:val="null3"/>
              <w:numPr>
                <w:ilvl w:val="0"/>
                <w:numId w:val="1"/>
              </w:numPr>
            </w:pPr>
            <w:r>
              <w:rPr>
                <w:rFonts w:ascii="仿宋_GB2312" w:hAnsi="仿宋_GB2312" w:cs="仿宋_GB2312" w:eastAsia="仿宋_GB2312"/>
                <w:sz w:val="24"/>
              </w:rPr>
              <w:t>古树身处学校，生长环境特殊，需要设置监控。</w:t>
            </w:r>
          </w:p>
          <w:p>
            <w:pPr>
              <w:pStyle w:val="null3"/>
              <w:numPr>
                <w:ilvl w:val="0"/>
                <w:numId w:val="1"/>
              </w:numPr>
            </w:pPr>
            <w:r>
              <w:rPr>
                <w:rFonts w:ascii="仿宋_GB2312" w:hAnsi="仿宋_GB2312" w:cs="仿宋_GB2312" w:eastAsia="仿宋_GB2312"/>
                <w:sz w:val="24"/>
              </w:rPr>
              <w:t>根部周围杂植吸收古树根部营养，造成古树树干营养成分减</w:t>
            </w:r>
            <w:r>
              <w:rPr>
                <w:rFonts w:ascii="仿宋_GB2312" w:hAnsi="仿宋_GB2312" w:cs="仿宋_GB2312" w:eastAsia="仿宋_GB2312"/>
                <w:sz w:val="24"/>
              </w:rPr>
              <w:t>少和病虫害滋生。</w:t>
            </w:r>
          </w:p>
          <w:p>
            <w:pPr>
              <w:pStyle w:val="null3"/>
              <w:numPr>
                <w:ilvl w:val="0"/>
                <w:numId w:val="1"/>
              </w:numPr>
            </w:pPr>
            <w:r>
              <w:rPr>
                <w:rFonts w:ascii="仿宋_GB2312" w:hAnsi="仿宋_GB2312" w:cs="仿宋_GB2312" w:eastAsia="仿宋_GB2312"/>
                <w:sz w:val="24"/>
              </w:rPr>
              <w:t>古树根部土壤面积较少且出现板结情况，周围垒砌水泥围栏，</w:t>
            </w:r>
            <w:r>
              <w:rPr>
                <w:rFonts w:ascii="仿宋_GB2312" w:hAnsi="仿宋_GB2312" w:cs="仿宋_GB2312" w:eastAsia="仿宋_GB2312"/>
                <w:sz w:val="24"/>
              </w:rPr>
              <w:t>导致根系发展不良。</w:t>
            </w:r>
          </w:p>
          <w:p>
            <w:pPr>
              <w:pStyle w:val="null3"/>
            </w:pPr>
            <w:r>
              <w:rPr>
                <w:rFonts w:ascii="仿宋_GB2312" w:hAnsi="仿宋_GB2312" w:cs="仿宋_GB2312" w:eastAsia="仿宋_GB2312"/>
                <w:sz w:val="24"/>
                <w:b/>
              </w:rPr>
              <w:t>4.3</w:t>
            </w:r>
            <w:r>
              <w:rPr>
                <w:rFonts w:ascii="仿宋_GB2312" w:hAnsi="仿宋_GB2312" w:cs="仿宋_GB2312" w:eastAsia="仿宋_GB2312"/>
                <w:sz w:val="24"/>
                <w:b/>
              </w:rPr>
              <w:t>编号</w:t>
            </w:r>
            <w:r>
              <w:rPr>
                <w:rFonts w:ascii="仿宋_GB2312" w:hAnsi="仿宋_GB2312" w:cs="仿宋_GB2312" w:eastAsia="仿宋_GB2312"/>
                <w:sz w:val="24"/>
                <w:b/>
              </w:rPr>
              <w:t xml:space="preserve"> 61011600056 圆柏树基本情况及现状</w:t>
            </w:r>
          </w:p>
          <w:p>
            <w:pPr>
              <w:pStyle w:val="null3"/>
              <w:numPr>
                <w:ilvl w:val="0"/>
                <w:numId w:val="1"/>
              </w:numPr>
            </w:pPr>
            <w:r>
              <w:rPr>
                <w:rFonts w:ascii="仿宋_GB2312" w:hAnsi="仿宋_GB2312" w:cs="仿宋_GB2312" w:eastAsia="仿宋_GB2312"/>
                <w:sz w:val="24"/>
              </w:rPr>
              <w:t>树冠东南侧分枝生长极为旺盛，枝条繁茂，该侧树冠重量显</w:t>
            </w:r>
            <w:r>
              <w:rPr>
                <w:rFonts w:ascii="仿宋_GB2312" w:hAnsi="仿宋_GB2312" w:cs="仿宋_GB2312" w:eastAsia="仿宋_GB2312"/>
                <w:sz w:val="24"/>
              </w:rPr>
              <w:t>著大于西北侧，整树属于严重不平衡生长，遇见极端大风天气，古</w:t>
            </w:r>
            <w:r>
              <w:rPr>
                <w:rFonts w:ascii="仿宋_GB2312" w:hAnsi="仿宋_GB2312" w:cs="仿宋_GB2312" w:eastAsia="仿宋_GB2312"/>
                <w:sz w:val="24"/>
              </w:rPr>
              <w:t>树有侧翻风险。</w:t>
            </w:r>
          </w:p>
          <w:p>
            <w:pPr>
              <w:pStyle w:val="null3"/>
              <w:numPr>
                <w:ilvl w:val="0"/>
                <w:numId w:val="1"/>
              </w:numPr>
            </w:pPr>
            <w:r>
              <w:rPr>
                <w:rFonts w:ascii="仿宋_GB2312" w:hAnsi="仿宋_GB2312" w:cs="仿宋_GB2312" w:eastAsia="仿宋_GB2312"/>
                <w:sz w:val="24"/>
              </w:rPr>
              <w:t>古树根部周围保护环境较杂乱，伴生植物较多，易引起病虫</w:t>
            </w:r>
            <w:r>
              <w:rPr>
                <w:rFonts w:ascii="仿宋_GB2312" w:hAnsi="仿宋_GB2312" w:cs="仿宋_GB2312" w:eastAsia="仿宋_GB2312"/>
                <w:sz w:val="24"/>
              </w:rPr>
              <w:t>害侵袭，对古树根部的健康造成威胁。</w:t>
            </w:r>
          </w:p>
          <w:p>
            <w:pPr>
              <w:pStyle w:val="null3"/>
              <w:numPr>
                <w:ilvl w:val="0"/>
                <w:numId w:val="1"/>
              </w:numPr>
            </w:pPr>
            <w:r>
              <w:rPr>
                <w:rFonts w:ascii="仿宋_GB2312" w:hAnsi="仿宋_GB2312" w:cs="仿宋_GB2312" w:eastAsia="仿宋_GB2312"/>
                <w:sz w:val="24"/>
              </w:rPr>
              <w:t>人为过度硬化、古树根树盘变小、裸土面积有限，将影响古</w:t>
            </w:r>
            <w:r>
              <w:rPr>
                <w:rFonts w:ascii="仿宋_GB2312" w:hAnsi="仿宋_GB2312" w:cs="仿宋_GB2312" w:eastAsia="仿宋_GB2312"/>
                <w:sz w:val="24"/>
              </w:rPr>
              <w:t>树根系正常的透气透水功能，加速根系的腐烂和萎缩，导致古树整</w:t>
            </w:r>
            <w:r>
              <w:rPr>
                <w:rFonts w:ascii="仿宋_GB2312" w:hAnsi="仿宋_GB2312" w:cs="仿宋_GB2312" w:eastAsia="仿宋_GB2312"/>
                <w:sz w:val="24"/>
              </w:rPr>
              <w:t>体营养不良，出现干枯、抵抗力下降的现象。</w:t>
            </w:r>
          </w:p>
          <w:p>
            <w:pPr>
              <w:pStyle w:val="null3"/>
              <w:numPr>
                <w:ilvl w:val="0"/>
                <w:numId w:val="1"/>
              </w:numPr>
            </w:pPr>
            <w:r>
              <w:rPr>
                <w:rFonts w:ascii="仿宋_GB2312" w:hAnsi="仿宋_GB2312" w:cs="仿宋_GB2312" w:eastAsia="仿宋_GB2312"/>
                <w:sz w:val="24"/>
              </w:rPr>
              <w:t>保护修补措施不当造成古树生长压力，需对水泥修补的空洞</w:t>
            </w:r>
            <w:r>
              <w:rPr>
                <w:rFonts w:ascii="仿宋_GB2312" w:hAnsi="仿宋_GB2312" w:cs="仿宋_GB2312" w:eastAsia="仿宋_GB2312"/>
                <w:sz w:val="24"/>
              </w:rPr>
              <w:t>重新修补。</w:t>
            </w:r>
          </w:p>
          <w:p>
            <w:pPr>
              <w:pStyle w:val="null3"/>
            </w:pPr>
            <w:r>
              <w:rPr>
                <w:rFonts w:ascii="仿宋_GB2312" w:hAnsi="仿宋_GB2312" w:cs="仿宋_GB2312" w:eastAsia="仿宋_GB2312"/>
                <w:sz w:val="24"/>
                <w:b/>
              </w:rPr>
              <w:t>4.4</w:t>
            </w:r>
            <w:r>
              <w:rPr>
                <w:rFonts w:ascii="仿宋_GB2312" w:hAnsi="仿宋_GB2312" w:cs="仿宋_GB2312" w:eastAsia="仿宋_GB2312"/>
                <w:sz w:val="24"/>
                <w:b/>
              </w:rPr>
              <w:t>编号</w:t>
            </w:r>
            <w:r>
              <w:rPr>
                <w:rFonts w:ascii="仿宋_GB2312" w:hAnsi="仿宋_GB2312" w:cs="仿宋_GB2312" w:eastAsia="仿宋_GB2312"/>
                <w:sz w:val="24"/>
                <w:b/>
              </w:rPr>
              <w:t xml:space="preserve"> 61011600057 圆柏树的基本情况及现状</w:t>
            </w:r>
          </w:p>
          <w:p>
            <w:pPr>
              <w:pStyle w:val="null3"/>
              <w:numPr>
                <w:ilvl w:val="0"/>
                <w:numId w:val="1"/>
              </w:numPr>
            </w:pPr>
            <w:r>
              <w:rPr>
                <w:rFonts w:ascii="仿宋_GB2312" w:hAnsi="仿宋_GB2312" w:cs="仿宋_GB2312" w:eastAsia="仿宋_GB2312"/>
                <w:sz w:val="24"/>
              </w:rPr>
              <w:t>电缆杂乱挂设于古树树冠上方，而古树向上生长的繁茂枝叶</w:t>
            </w:r>
            <w:r>
              <w:rPr>
                <w:rFonts w:ascii="仿宋_GB2312" w:hAnsi="仿宋_GB2312" w:cs="仿宋_GB2312" w:eastAsia="仿宋_GB2312"/>
                <w:sz w:val="24"/>
              </w:rPr>
              <w:t>在持续扩张，二者相互挤压碰撞，可能引发短路起火，甚至在雷雨</w:t>
            </w:r>
            <w:r>
              <w:rPr>
                <w:rFonts w:ascii="仿宋_GB2312" w:hAnsi="仿宋_GB2312" w:cs="仿宋_GB2312" w:eastAsia="仿宋_GB2312"/>
                <w:sz w:val="24"/>
              </w:rPr>
              <w:t>天气成为导电隐患，危及古树及周边安全。需进行修枝作业。</w:t>
            </w:r>
          </w:p>
          <w:p>
            <w:pPr>
              <w:pStyle w:val="null3"/>
              <w:numPr>
                <w:ilvl w:val="0"/>
                <w:numId w:val="1"/>
              </w:numPr>
            </w:pPr>
            <w:r>
              <w:rPr>
                <w:rFonts w:ascii="仿宋_GB2312" w:hAnsi="仿宋_GB2312" w:cs="仿宋_GB2312" w:eastAsia="仿宋_GB2312"/>
                <w:sz w:val="24"/>
              </w:rPr>
              <w:t>古树树身枯枝、折断枝较多，树身两主枝在分叉处已经严重</w:t>
            </w:r>
            <w:r>
              <w:rPr>
                <w:rFonts w:ascii="仿宋_GB2312" w:hAnsi="仿宋_GB2312" w:cs="仿宋_GB2312" w:eastAsia="仿宋_GB2312"/>
                <w:sz w:val="24"/>
              </w:rPr>
              <w:t>开裂，开裂面积较大，导致两侧枝干下垂严重，下垂树枝目前枝繁</w:t>
            </w:r>
            <w:r>
              <w:rPr>
                <w:rFonts w:ascii="仿宋_GB2312" w:hAnsi="仿宋_GB2312" w:cs="仿宋_GB2312" w:eastAsia="仿宋_GB2312"/>
                <w:sz w:val="24"/>
              </w:rPr>
              <w:t>叶茂，遇见极端天气有较大风折趋势，将破坏周边建筑物，安全隐</w:t>
            </w:r>
            <w:r>
              <w:rPr>
                <w:rFonts w:ascii="仿宋_GB2312" w:hAnsi="仿宋_GB2312" w:cs="仿宋_GB2312" w:eastAsia="仿宋_GB2312"/>
                <w:sz w:val="24"/>
              </w:rPr>
              <w:t>患较大。需要及时进行清腐及修补加固。</w:t>
            </w:r>
          </w:p>
          <w:p>
            <w:pPr>
              <w:pStyle w:val="null3"/>
              <w:numPr>
                <w:ilvl w:val="0"/>
                <w:numId w:val="1"/>
              </w:numPr>
            </w:pPr>
            <w:r>
              <w:rPr>
                <w:rFonts w:ascii="仿宋_GB2312" w:hAnsi="仿宋_GB2312" w:cs="仿宋_GB2312" w:eastAsia="仿宋_GB2312"/>
                <w:sz w:val="24"/>
              </w:rPr>
              <w:t>树身开裂部位位于主枝分叉处，成开放式伤口，前期未进行</w:t>
            </w:r>
            <w:r>
              <w:rPr>
                <w:rFonts w:ascii="仿宋_GB2312" w:hAnsi="仿宋_GB2312" w:cs="仿宋_GB2312" w:eastAsia="仿宋_GB2312"/>
                <w:sz w:val="24"/>
              </w:rPr>
              <w:t>有效保护，遇见下雨天气，雨水直接进入树干中部，加速树干中空</w:t>
            </w:r>
            <w:r>
              <w:rPr>
                <w:rFonts w:ascii="仿宋_GB2312" w:hAnsi="仿宋_GB2312" w:cs="仿宋_GB2312" w:eastAsia="仿宋_GB2312"/>
                <w:sz w:val="24"/>
              </w:rPr>
              <w:t>腐烂的速度，急需进行封堵和支撑加固处理。</w:t>
            </w:r>
          </w:p>
          <w:p>
            <w:pPr>
              <w:pStyle w:val="null3"/>
              <w:numPr>
                <w:ilvl w:val="0"/>
                <w:numId w:val="1"/>
              </w:numPr>
            </w:pPr>
            <w:r>
              <w:rPr>
                <w:rFonts w:ascii="仿宋_GB2312" w:hAnsi="仿宋_GB2312" w:cs="仿宋_GB2312" w:eastAsia="仿宋_GB2312"/>
                <w:sz w:val="24"/>
              </w:rPr>
              <w:t>水泥保护围挡限制根系生长，需要加设透气性水管。</w:t>
            </w:r>
          </w:p>
          <w:p>
            <w:pPr>
              <w:pStyle w:val="null3"/>
              <w:numPr>
                <w:ilvl w:val="0"/>
                <w:numId w:val="1"/>
              </w:numPr>
            </w:pPr>
            <w:r>
              <w:rPr>
                <w:rFonts w:ascii="仿宋_GB2312" w:hAnsi="仿宋_GB2312" w:cs="仿宋_GB2312" w:eastAsia="仿宋_GB2312"/>
                <w:sz w:val="24"/>
              </w:rPr>
              <w:t>古树生长在庙门口，生长环境较为复杂，且伴有香火有火灾</w:t>
            </w:r>
            <w:r>
              <w:rPr>
                <w:rFonts w:ascii="仿宋_GB2312" w:hAnsi="仿宋_GB2312" w:cs="仿宋_GB2312" w:eastAsia="仿宋_GB2312"/>
                <w:sz w:val="24"/>
              </w:rPr>
              <w:t>隐患，要实时监控。</w:t>
            </w:r>
          </w:p>
          <w:p>
            <w:pPr>
              <w:pStyle w:val="null3"/>
              <w:numPr>
                <w:ilvl w:val="0"/>
                <w:numId w:val="1"/>
              </w:numPr>
            </w:pPr>
            <w:r>
              <w:rPr>
                <w:rFonts w:ascii="仿宋_GB2312" w:hAnsi="仿宋_GB2312" w:cs="仿宋_GB2312" w:eastAsia="仿宋_GB2312"/>
                <w:sz w:val="24"/>
              </w:rPr>
              <w:t>土质营养缺失、较贫瘠、水汽交换能力差，影响古树生长。</w:t>
            </w:r>
          </w:p>
          <w:p>
            <w:pPr>
              <w:pStyle w:val="null3"/>
            </w:pPr>
            <w:r>
              <w:rPr>
                <w:rFonts w:ascii="仿宋_GB2312" w:hAnsi="仿宋_GB2312" w:cs="仿宋_GB2312" w:eastAsia="仿宋_GB2312"/>
                <w:sz w:val="24"/>
                <w:b/>
              </w:rPr>
              <w:t>4.5</w:t>
            </w:r>
            <w:r>
              <w:rPr>
                <w:rFonts w:ascii="仿宋_GB2312" w:hAnsi="仿宋_GB2312" w:cs="仿宋_GB2312" w:eastAsia="仿宋_GB2312"/>
                <w:sz w:val="24"/>
                <w:b/>
              </w:rPr>
              <w:t>编号</w:t>
            </w:r>
            <w:r>
              <w:rPr>
                <w:rFonts w:ascii="仿宋_GB2312" w:hAnsi="仿宋_GB2312" w:cs="仿宋_GB2312" w:eastAsia="仿宋_GB2312"/>
                <w:sz w:val="24"/>
                <w:b/>
              </w:rPr>
              <w:t xml:space="preserve"> 61011600079 西垇村国槐树基本情况及现状</w:t>
            </w:r>
          </w:p>
          <w:p>
            <w:pPr>
              <w:pStyle w:val="null3"/>
              <w:numPr>
                <w:ilvl w:val="0"/>
                <w:numId w:val="1"/>
              </w:numPr>
            </w:pPr>
            <w:r>
              <w:rPr>
                <w:rFonts w:ascii="仿宋_GB2312" w:hAnsi="仿宋_GB2312" w:cs="仿宋_GB2312" w:eastAsia="仿宋_GB2312"/>
                <w:sz w:val="24"/>
              </w:rPr>
              <w:t>树身主枝干有多处空腐，已形成开放式空洞，面积约</w:t>
            </w:r>
            <w:r>
              <w:rPr>
                <w:rFonts w:ascii="仿宋_GB2312" w:hAnsi="仿宋_GB2312" w:cs="仿宋_GB2312" w:eastAsia="仿宋_GB2312"/>
                <w:sz w:val="24"/>
              </w:rPr>
              <w:t xml:space="preserve"> 8m² ,  空洞内木质部分腐烂和虫害严重，遇见极端的大风天气，将加大古 树风折的隐患，原先水泥修补处需尽快重新修补。</w:t>
            </w:r>
          </w:p>
          <w:p>
            <w:pPr>
              <w:pStyle w:val="null3"/>
              <w:numPr>
                <w:ilvl w:val="0"/>
                <w:numId w:val="1"/>
              </w:numPr>
            </w:pPr>
            <w:r>
              <w:rPr>
                <w:rFonts w:ascii="仿宋_GB2312" w:hAnsi="仿宋_GB2312" w:cs="仿宋_GB2312" w:eastAsia="仿宋_GB2312"/>
                <w:sz w:val="24"/>
              </w:rPr>
              <w:t>一侧主杆枝生长旺盛，使当前主枝因自身重量及冠幅延伸，</w:t>
            </w:r>
            <w:r>
              <w:rPr>
                <w:rFonts w:ascii="仿宋_GB2312" w:hAnsi="仿宋_GB2312" w:cs="仿宋_GB2312" w:eastAsia="仿宋_GB2312"/>
                <w:sz w:val="24"/>
              </w:rPr>
              <w:t>对树体主干产生显著的横向拉力与重力荷载，致使树体受力失衡，</w:t>
            </w:r>
            <w:r>
              <w:rPr>
                <w:rFonts w:ascii="仿宋_GB2312" w:hAnsi="仿宋_GB2312" w:cs="仿宋_GB2312" w:eastAsia="仿宋_GB2312"/>
                <w:sz w:val="24"/>
              </w:rPr>
              <w:t>存在主干劈裂、枝干折断及整体倒伏风险，需要支撑加固。</w:t>
            </w:r>
          </w:p>
          <w:p>
            <w:pPr>
              <w:pStyle w:val="null3"/>
              <w:numPr>
                <w:ilvl w:val="0"/>
                <w:numId w:val="1"/>
              </w:numPr>
            </w:pPr>
            <w:r>
              <w:rPr>
                <w:rFonts w:ascii="仿宋_GB2312" w:hAnsi="仿宋_GB2312" w:cs="仿宋_GB2312" w:eastAsia="仿宋_GB2312"/>
                <w:sz w:val="24"/>
              </w:rPr>
              <w:t>根部透水透气性差，根系生长受限需要根部南北侧进行复壮</w:t>
            </w:r>
            <w:r>
              <w:rPr>
                <w:rFonts w:ascii="仿宋_GB2312" w:hAnsi="仿宋_GB2312" w:cs="仿宋_GB2312" w:eastAsia="仿宋_GB2312"/>
                <w:sz w:val="24"/>
              </w:rPr>
              <w:t>和增加透气性水管。</w:t>
            </w:r>
          </w:p>
          <w:p>
            <w:pPr>
              <w:pStyle w:val="null3"/>
              <w:numPr>
                <w:ilvl w:val="0"/>
                <w:numId w:val="1"/>
              </w:numPr>
            </w:pPr>
            <w:r>
              <w:rPr>
                <w:rFonts w:ascii="仿宋_GB2312" w:hAnsi="仿宋_GB2312" w:cs="仿宋_GB2312" w:eastAsia="仿宋_GB2312"/>
                <w:sz w:val="24"/>
              </w:rPr>
              <w:t>围栏年久失修，需重新更换，因古树位置特殊，位于村庄街</w:t>
            </w:r>
            <w:r>
              <w:rPr>
                <w:rFonts w:ascii="仿宋_GB2312" w:hAnsi="仿宋_GB2312" w:cs="仿宋_GB2312" w:eastAsia="仿宋_GB2312"/>
                <w:sz w:val="24"/>
              </w:rPr>
              <w:t>道正中间，围栏前期有被车辆碰撞的痕迹，本次保护应加设醒目的</w:t>
            </w:r>
            <w:r>
              <w:rPr>
                <w:rFonts w:ascii="仿宋_GB2312" w:hAnsi="仿宋_GB2312" w:cs="仿宋_GB2312" w:eastAsia="仿宋_GB2312"/>
                <w:sz w:val="24"/>
              </w:rPr>
              <w:t>提示标志。</w:t>
            </w:r>
          </w:p>
          <w:p>
            <w:pPr>
              <w:pStyle w:val="null3"/>
            </w:pPr>
            <w:r>
              <w:rPr>
                <w:rFonts w:ascii="仿宋_GB2312" w:hAnsi="仿宋_GB2312" w:cs="仿宋_GB2312" w:eastAsia="仿宋_GB2312"/>
                <w:sz w:val="24"/>
                <w:b/>
              </w:rPr>
              <w:t>4.6</w:t>
            </w:r>
            <w:r>
              <w:rPr>
                <w:rFonts w:ascii="仿宋_GB2312" w:hAnsi="仿宋_GB2312" w:cs="仿宋_GB2312" w:eastAsia="仿宋_GB2312"/>
                <w:sz w:val="24"/>
                <w:b/>
              </w:rPr>
              <w:t>编号</w:t>
            </w:r>
            <w:r>
              <w:rPr>
                <w:rFonts w:ascii="仿宋_GB2312" w:hAnsi="仿宋_GB2312" w:cs="仿宋_GB2312" w:eastAsia="仿宋_GB2312"/>
                <w:sz w:val="24"/>
                <w:b/>
              </w:rPr>
              <w:t xml:space="preserve"> 61011600139 皂荚树基本情况及现状</w:t>
            </w:r>
          </w:p>
          <w:p>
            <w:pPr>
              <w:pStyle w:val="null3"/>
            </w:pPr>
            <w:r>
              <w:rPr>
                <w:rFonts w:ascii="仿宋_GB2312" w:hAnsi="仿宋_GB2312" w:cs="仿宋_GB2312" w:eastAsia="仿宋_GB2312"/>
                <w:sz w:val="24"/>
              </w:rPr>
              <w:t>调查结论</w:t>
            </w:r>
          </w:p>
          <w:p>
            <w:pPr>
              <w:pStyle w:val="null3"/>
              <w:numPr>
                <w:ilvl w:val="0"/>
                <w:numId w:val="1"/>
              </w:numPr>
            </w:pPr>
            <w:r>
              <w:rPr>
                <w:rFonts w:ascii="仿宋_GB2312" w:hAnsi="仿宋_GB2312" w:cs="仿宋_GB2312" w:eastAsia="仿宋_GB2312"/>
                <w:sz w:val="24"/>
              </w:rPr>
              <w:t>树身有严重的空腐开裂现象，呈开放式裸露。急需清腐修补，</w:t>
            </w:r>
            <w:r>
              <w:rPr>
                <w:rFonts w:ascii="仿宋_GB2312" w:hAnsi="仿宋_GB2312" w:cs="仿宋_GB2312" w:eastAsia="仿宋_GB2312"/>
                <w:sz w:val="24"/>
              </w:rPr>
              <w:t>古树枯死枝、断裂树干较多，树枝有空腐情况，不加保护树枝有坠</w:t>
            </w:r>
            <w:r>
              <w:rPr>
                <w:rFonts w:ascii="仿宋_GB2312" w:hAnsi="仿宋_GB2312" w:cs="仿宋_GB2312" w:eastAsia="仿宋_GB2312"/>
                <w:sz w:val="24"/>
              </w:rPr>
              <w:t>落危险，急需处理。</w:t>
            </w:r>
          </w:p>
          <w:p>
            <w:pPr>
              <w:pStyle w:val="null3"/>
              <w:numPr>
                <w:ilvl w:val="0"/>
                <w:numId w:val="1"/>
              </w:numPr>
            </w:pPr>
            <w:r>
              <w:rPr>
                <w:rFonts w:ascii="仿宋_GB2312" w:hAnsi="仿宋_GB2312" w:cs="仿宋_GB2312" w:eastAsia="仿宋_GB2312"/>
                <w:sz w:val="24"/>
              </w:rPr>
              <w:t>整体树势朝向北侧及东侧倾倒，原先的支撑年代久远，出现</w:t>
            </w:r>
            <w:r>
              <w:rPr>
                <w:rFonts w:ascii="仿宋_GB2312" w:hAnsi="仿宋_GB2312" w:cs="仿宋_GB2312" w:eastAsia="仿宋_GB2312"/>
                <w:sz w:val="24"/>
              </w:rPr>
              <w:t>松脱现象，不能满足现有的倾斜重量，需进行加固处理。</w:t>
            </w:r>
          </w:p>
          <w:p>
            <w:pPr>
              <w:pStyle w:val="null3"/>
              <w:numPr>
                <w:ilvl w:val="0"/>
                <w:numId w:val="1"/>
              </w:numPr>
            </w:pPr>
            <w:r>
              <w:rPr>
                <w:rFonts w:ascii="仿宋_GB2312" w:hAnsi="仿宋_GB2312" w:cs="仿宋_GB2312" w:eastAsia="仿宋_GB2312"/>
                <w:sz w:val="24"/>
              </w:rPr>
              <w:t>古树根部有水泥围砌的高台，严重缩小古树的树盘，影响古</w:t>
            </w:r>
            <w:r>
              <w:rPr>
                <w:rFonts w:ascii="仿宋_GB2312" w:hAnsi="仿宋_GB2312" w:cs="仿宋_GB2312" w:eastAsia="仿宋_GB2312"/>
                <w:sz w:val="24"/>
              </w:rPr>
              <w:t>树根部的透水透气功能，极大限制古树的健康生长。需破除高台并</w:t>
            </w:r>
            <w:r>
              <w:rPr>
                <w:rFonts w:ascii="仿宋_GB2312" w:hAnsi="仿宋_GB2312" w:cs="仿宋_GB2312" w:eastAsia="仿宋_GB2312"/>
                <w:sz w:val="24"/>
              </w:rPr>
              <w:t>进行整地作业，因生长地方空旷需加设围栏保护。</w:t>
            </w:r>
          </w:p>
          <w:p>
            <w:pPr>
              <w:pStyle w:val="null3"/>
              <w:numPr>
                <w:ilvl w:val="0"/>
                <w:numId w:val="1"/>
              </w:numPr>
            </w:pPr>
            <w:r>
              <w:rPr>
                <w:rFonts w:ascii="仿宋_GB2312" w:hAnsi="仿宋_GB2312" w:cs="仿宋_GB2312" w:eastAsia="仿宋_GB2312"/>
                <w:sz w:val="24"/>
              </w:rPr>
              <w:t>原先支撑杆生锈松动，而且支撑点与树干接触面没有软保护，</w:t>
            </w:r>
            <w:r>
              <w:rPr>
                <w:rFonts w:ascii="仿宋_GB2312" w:hAnsi="仿宋_GB2312" w:cs="仿宋_GB2312" w:eastAsia="仿宋_GB2312"/>
                <w:sz w:val="24"/>
              </w:rPr>
              <w:t>会加速古树皮生长摩擦进一步伤害古树。</w:t>
            </w:r>
          </w:p>
          <w:p>
            <w:pPr>
              <w:pStyle w:val="null3"/>
              <w:numPr>
                <w:ilvl w:val="0"/>
                <w:numId w:val="1"/>
              </w:numPr>
            </w:pPr>
            <w:r>
              <w:rPr>
                <w:rFonts w:ascii="仿宋_GB2312" w:hAnsi="仿宋_GB2312" w:cs="仿宋_GB2312" w:eastAsia="仿宋_GB2312"/>
                <w:sz w:val="24"/>
              </w:rPr>
              <w:t>古树所在土壤较贫瘠，对古树营养供给不足，土壤僵硬板结。</w:t>
            </w:r>
          </w:p>
          <w:p>
            <w:pPr>
              <w:pStyle w:val="null3"/>
            </w:pPr>
            <w:r>
              <w:rPr>
                <w:rFonts w:ascii="仿宋_GB2312" w:hAnsi="仿宋_GB2312" w:cs="仿宋_GB2312" w:eastAsia="仿宋_GB2312"/>
                <w:sz w:val="24"/>
              </w:rPr>
              <w:t>4.7处理措施：古树树冠枝条整理；树干清腐；树体消毒杀菌；树体防腐；仿真修补；人工拆除砖台；复壮坑；病虫害治理；支撑保护；修建排水沟；标识措施；环境整治；土壤改良。</w:t>
            </w:r>
          </w:p>
          <w:p>
            <w:pPr>
              <w:pStyle w:val="null3"/>
              <w:numPr>
                <w:ilvl w:val="0"/>
                <w:numId w:val="1"/>
              </w:numPr>
            </w:pPr>
            <w:r>
              <w:rPr>
                <w:rFonts w:ascii="仿宋_GB2312" w:hAnsi="仿宋_GB2312" w:cs="仿宋_GB2312" w:eastAsia="仿宋_GB2312"/>
                <w:sz w:val="24"/>
              </w:rPr>
              <w:t>项目服务期：合同签订之日起至</w:t>
            </w:r>
            <w:r>
              <w:rPr>
                <w:rFonts w:ascii="仿宋_GB2312" w:hAnsi="仿宋_GB2312" w:cs="仿宋_GB2312" w:eastAsia="仿宋_GB2312"/>
                <w:sz w:val="24"/>
              </w:rPr>
              <w:t>2025年</w:t>
            </w:r>
            <w:r>
              <w:rPr>
                <w:rFonts w:ascii="仿宋_GB2312" w:hAnsi="仿宋_GB2312" w:cs="仿宋_GB2312" w:eastAsia="仿宋_GB2312"/>
                <w:sz w:val="24"/>
              </w:rPr>
              <w:t>10月31日。</w:t>
            </w:r>
          </w:p>
          <w:p>
            <w:pPr>
              <w:pStyle w:val="null3"/>
              <w:numPr>
                <w:ilvl w:val="0"/>
                <w:numId w:val="1"/>
              </w:numPr>
            </w:pPr>
            <w:r>
              <w:rPr>
                <w:rFonts w:ascii="仿宋_GB2312" w:hAnsi="仿宋_GB2312" w:cs="仿宋_GB2312" w:eastAsia="仿宋_GB2312"/>
                <w:sz w:val="24"/>
              </w:rPr>
              <w:t>其他要求</w:t>
            </w:r>
            <w:r>
              <w:rPr>
                <w:rFonts w:ascii="仿宋_GB2312" w:hAnsi="仿宋_GB2312" w:cs="仿宋_GB2312" w:eastAsia="仿宋_GB2312"/>
              </w:rPr>
              <w:t>：</w:t>
            </w:r>
            <w:r>
              <w:rPr>
                <w:rFonts w:ascii="仿宋_GB2312" w:hAnsi="仿宋_GB2312" w:cs="仿宋_GB2312" w:eastAsia="仿宋_GB2312"/>
                <w:sz w:val="24"/>
              </w:rPr>
              <w:t>按照《长安区2025 年林业草原生态保护恢复资金古树名木保护项目实施方案》要求完成方案内的所有要求保护措施、技术路线、建设内容等。（详见附件：《长安区2025 年林业草原生态保护恢复资金古树名木保护项目实施方案》）</w:t>
            </w:r>
          </w:p>
          <w:p>
            <w:pPr>
              <w:pStyle w:val="null3"/>
              <w:numPr>
                <w:ilvl w:val="0"/>
                <w:numId w:val="1"/>
              </w:numPr>
            </w:pPr>
            <w:r>
              <w:rPr>
                <w:rFonts w:ascii="仿宋_GB2312" w:hAnsi="仿宋_GB2312" w:cs="仿宋_GB2312" w:eastAsia="仿宋_GB2312"/>
                <w:sz w:val="24"/>
              </w:rPr>
              <w:t>绩效指标</w:t>
            </w:r>
          </w:p>
          <w:tbl>
            <w:tblPr>
              <w:tblInd w:type="dxa" w:w="240"/>
              <w:tblBorders>
                <w:top w:val="none" w:color="000000" w:sz="4"/>
                <w:left w:val="none" w:color="000000" w:sz="4"/>
                <w:bottom w:val="none" w:color="000000" w:sz="4"/>
                <w:right w:val="none" w:color="000000" w:sz="4"/>
                <w:insideH w:val="none"/>
                <w:insideV w:val="none"/>
              </w:tblBorders>
            </w:tblPr>
            <w:tblGrid>
              <w:gridCol w:w="130"/>
              <w:gridCol w:w="385"/>
              <w:gridCol w:w="331"/>
              <w:gridCol w:w="1297"/>
              <w:gridCol w:w="390"/>
            </w:tblGrid>
            <w:tr>
              <w:tc>
                <w:tcPr>
                  <w:tcW w:type="dxa" w:w="130"/>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年度绩效指标</w:t>
                  </w:r>
                </w:p>
              </w:tc>
              <w:tc>
                <w:tcPr>
                  <w:tcW w:type="dxa" w:w="3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一级指标</w:t>
                  </w:r>
                </w:p>
              </w:tc>
              <w:tc>
                <w:tcPr>
                  <w:tcW w:type="dxa" w:w="33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二级指标</w:t>
                  </w:r>
                </w:p>
              </w:tc>
              <w:tc>
                <w:tcPr>
                  <w:tcW w:type="dxa" w:w="12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三级指标</w:t>
                  </w:r>
                </w:p>
              </w:tc>
              <w:tc>
                <w:tcPr>
                  <w:tcW w:type="dxa" w:w="3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指标值</w:t>
                  </w:r>
                </w:p>
              </w:tc>
            </w:tr>
            <w:tr>
              <w:tc>
                <w:tcPr>
                  <w:tcW w:type="dxa" w:w="130"/>
                  <w:vMerge/>
                  <w:tcBorders>
                    <w:top w:val="single" w:color="000000" w:sz="4"/>
                    <w:left w:val="single" w:color="000000" w:sz="4"/>
                    <w:bottom w:val="single" w:color="000000" w:sz="4"/>
                    <w:right w:val="single" w:color="000000" w:sz="4"/>
                  </w:tcBorders>
                </w:tcPr>
                <w:p/>
              </w:tc>
              <w:tc>
                <w:tcPr>
                  <w:tcW w:type="dxa" w:w="3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产出指标</w:t>
                  </w:r>
                </w:p>
              </w:tc>
              <w:tc>
                <w:tcPr>
                  <w:tcW w:type="dxa" w:w="3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数量指标</w:t>
                  </w:r>
                </w:p>
              </w:tc>
              <w:tc>
                <w:tcPr>
                  <w:tcW w:type="dxa" w:w="1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林草系统管理的古树和名木开展抢救复壮数量</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6株</w:t>
                  </w:r>
                </w:p>
              </w:tc>
            </w:tr>
            <w:tr>
              <w:tc>
                <w:tcPr>
                  <w:tcW w:type="dxa" w:w="130"/>
                  <w:vMerge/>
                  <w:tcBorders>
                    <w:top w:val="singl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c>
                <w:tcPr>
                  <w:tcW w:type="dxa" w:w="3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质量指标</w:t>
                  </w:r>
                </w:p>
              </w:tc>
              <w:tc>
                <w:tcPr>
                  <w:tcW w:type="dxa" w:w="1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林草系统管理的古树和名木开展抢救复壮</w:t>
                  </w:r>
                  <w:r>
                    <w:rPr>
                      <w:rFonts w:ascii="仿宋_GB2312" w:hAnsi="仿宋_GB2312" w:cs="仿宋_GB2312" w:eastAsia="仿宋_GB2312"/>
                      <w:sz w:val="24"/>
                    </w:rPr>
                    <w:t>合格率</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w:t>
                  </w:r>
                  <w:r>
                    <w:rPr>
                      <w:rFonts w:ascii="仿宋_GB2312" w:hAnsi="仿宋_GB2312" w:cs="仿宋_GB2312" w:eastAsia="仿宋_GB2312"/>
                      <w:sz w:val="24"/>
                      <w:color w:val="050505"/>
                    </w:rPr>
                    <w:t>90%</w:t>
                  </w:r>
                </w:p>
              </w:tc>
            </w:tr>
            <w:tr>
              <w:tc>
                <w:tcPr>
                  <w:tcW w:type="dxa" w:w="130"/>
                  <w:vMerge/>
                  <w:tcBorders>
                    <w:top w:val="singl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c>
                <w:tcPr>
                  <w:tcW w:type="dxa" w:w="3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实效指标</w:t>
                  </w:r>
                </w:p>
              </w:tc>
              <w:tc>
                <w:tcPr>
                  <w:tcW w:type="dxa" w:w="1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项目当期任务完成率</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w:t>
                  </w:r>
                  <w:r>
                    <w:rPr>
                      <w:rFonts w:ascii="仿宋_GB2312" w:hAnsi="仿宋_GB2312" w:cs="仿宋_GB2312" w:eastAsia="仿宋_GB2312"/>
                      <w:sz w:val="24"/>
                      <w:color w:val="050505"/>
                    </w:rPr>
                    <w:t>90%</w:t>
                  </w:r>
                </w:p>
              </w:tc>
            </w:tr>
            <w:tr>
              <w:tc>
                <w:tcPr>
                  <w:tcW w:type="dxa" w:w="130"/>
                  <w:vMerge/>
                  <w:tcBorders>
                    <w:top w:val="single" w:color="000000" w:sz="4"/>
                    <w:left w:val="single" w:color="000000" w:sz="4"/>
                    <w:bottom w:val="single" w:color="000000" w:sz="4"/>
                    <w:right w:val="single" w:color="000000" w:sz="4"/>
                  </w:tcBorders>
                </w:tcPr>
                <w:p/>
              </w:tc>
              <w:tc>
                <w:tcPr>
                  <w:tcW w:type="dxa" w:w="385"/>
                  <w:vMerge/>
                  <w:tcBorders>
                    <w:top w:val="none" w:color="000000" w:sz="4"/>
                    <w:left w:val="single" w:color="000000" w:sz="4"/>
                    <w:bottom w:val="single" w:color="000000" w:sz="4"/>
                    <w:right w:val="single" w:color="000000" w:sz="4"/>
                  </w:tcBorders>
                </w:tcPr>
                <w:p/>
              </w:tc>
              <w:tc>
                <w:tcPr>
                  <w:tcW w:type="dxa" w:w="3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成本指标</w:t>
                  </w:r>
                </w:p>
              </w:tc>
              <w:tc>
                <w:tcPr>
                  <w:tcW w:type="dxa" w:w="1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林草系统管理的古树和名木开展抢救复壮</w:t>
                  </w:r>
                  <w:r>
                    <w:rPr>
                      <w:rFonts w:ascii="仿宋_GB2312" w:hAnsi="仿宋_GB2312" w:cs="仿宋_GB2312" w:eastAsia="仿宋_GB2312"/>
                      <w:sz w:val="24"/>
                    </w:rPr>
                    <w:t>标准</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w:t>
                  </w:r>
                  <w:r>
                    <w:rPr>
                      <w:rFonts w:ascii="仿宋_GB2312" w:hAnsi="仿宋_GB2312" w:cs="仿宋_GB2312" w:eastAsia="仿宋_GB2312"/>
                      <w:sz w:val="24"/>
                      <w:color w:val="050505"/>
                    </w:rPr>
                    <w:t>8万元/株</w:t>
                  </w:r>
                </w:p>
              </w:tc>
            </w:tr>
            <w:tr>
              <w:tc>
                <w:tcPr>
                  <w:tcW w:type="dxa" w:w="130"/>
                  <w:vMerge/>
                  <w:tcBorders>
                    <w:top w:val="single" w:color="000000" w:sz="4"/>
                    <w:left w:val="single" w:color="000000" w:sz="4"/>
                    <w:bottom w:val="single" w:color="000000" w:sz="4"/>
                    <w:right w:val="single" w:color="000000" w:sz="4"/>
                  </w:tcBorders>
                </w:tcPr>
                <w:p/>
              </w:tc>
              <w:tc>
                <w:tcPr>
                  <w:tcW w:type="dxa" w:w="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效益</w:t>
                  </w:r>
                </w:p>
                <w:p>
                  <w:pPr>
                    <w:pStyle w:val="null3"/>
                    <w:jc w:val="center"/>
                  </w:pPr>
                  <w:r>
                    <w:rPr>
                      <w:rFonts w:ascii="仿宋_GB2312" w:hAnsi="仿宋_GB2312" w:cs="仿宋_GB2312" w:eastAsia="仿宋_GB2312"/>
                      <w:sz w:val="24"/>
                      <w:color w:val="050505"/>
                    </w:rPr>
                    <w:t>指标</w:t>
                  </w:r>
                </w:p>
              </w:tc>
              <w:tc>
                <w:tcPr>
                  <w:tcW w:type="dxa" w:w="3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生态指标</w:t>
                  </w:r>
                </w:p>
              </w:tc>
              <w:tc>
                <w:tcPr>
                  <w:tcW w:type="dxa" w:w="1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生物系统和生物多样性</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得到有效保护</w:t>
                  </w:r>
                </w:p>
              </w:tc>
            </w:tr>
            <w:tr>
              <w:tc>
                <w:tcPr>
                  <w:tcW w:type="dxa" w:w="130"/>
                  <w:vMerge/>
                  <w:tcBorders>
                    <w:top w:val="single" w:color="000000" w:sz="4"/>
                    <w:left w:val="single" w:color="000000" w:sz="4"/>
                    <w:bottom w:val="single" w:color="000000" w:sz="4"/>
                    <w:right w:val="single" w:color="000000" w:sz="4"/>
                  </w:tcBorders>
                </w:tcPr>
                <w:p/>
              </w:tc>
              <w:tc>
                <w:tcPr>
                  <w:tcW w:type="dxa" w:w="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满意度指标</w:t>
                  </w:r>
                </w:p>
              </w:tc>
              <w:tc>
                <w:tcPr>
                  <w:tcW w:type="dxa" w:w="3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服务对象</w:t>
                  </w:r>
                  <w:r>
                    <w:rPr>
                      <w:rFonts w:ascii="仿宋_GB2312" w:hAnsi="仿宋_GB2312" w:cs="仿宋_GB2312" w:eastAsia="仿宋_GB2312"/>
                      <w:sz w:val="24"/>
                      <w:color w:val="050505"/>
                    </w:rPr>
                    <w:t>满意</w:t>
                  </w:r>
                  <w:r>
                    <w:rPr>
                      <w:rFonts w:ascii="仿宋_GB2312" w:hAnsi="仿宋_GB2312" w:cs="仿宋_GB2312" w:eastAsia="仿宋_GB2312"/>
                      <w:sz w:val="24"/>
                      <w:color w:val="050505"/>
                    </w:rPr>
                    <w:t>度指</w:t>
                  </w:r>
                </w:p>
                <w:p>
                  <w:pPr>
                    <w:pStyle w:val="null3"/>
                    <w:jc w:val="center"/>
                  </w:pPr>
                  <w:r>
                    <w:rPr>
                      <w:rFonts w:ascii="仿宋_GB2312" w:hAnsi="仿宋_GB2312" w:cs="仿宋_GB2312" w:eastAsia="仿宋_GB2312"/>
                      <w:sz w:val="24"/>
                      <w:color w:val="050505"/>
                    </w:rPr>
                    <w:t>标</w:t>
                  </w:r>
                </w:p>
              </w:tc>
              <w:tc>
                <w:tcPr>
                  <w:tcW w:type="dxa" w:w="1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林区职工和周边群众满意度</w:t>
                  </w:r>
                </w:p>
              </w:tc>
              <w:tc>
                <w:tcPr>
                  <w:tcW w:type="dxa" w:w="3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50505"/>
                    </w:rPr>
                    <w:t>≥</w:t>
                  </w:r>
                  <w:r>
                    <w:rPr>
                      <w:rFonts w:ascii="仿宋_GB2312" w:hAnsi="仿宋_GB2312" w:cs="仿宋_GB2312" w:eastAsia="仿宋_GB2312"/>
                      <w:sz w:val="24"/>
                      <w:color w:val="050505"/>
                    </w:rPr>
                    <w:t>85%</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合同签订之日起至2025年10月31日。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①复壮效果标准:古树生长状况正常，病虫害得到有效控制，树体周边环境整洁，符合古树养护复壮技术规范要求。 ②监控要求:系统应具备较高的保密性和防篡改能力，在各种天气及光线下画面清晰并能够进行循环录像等，系统的软、硬件设备要求运行稳定，故障率低，容错性强。同时具备防止数据被破坏、窃取、丢失等安全措施，以及健全的安全级别控制。 ③保护修缮措施:树洞填充牢固、防腐处理到位、加固设施安全可靠等。 ④交付成果完整性:供应商按要求提交所有交付成果，且成果内容符合规定格式和质量要求。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项目完成，由采购方组织上级主管部门、财政、监理统一验收。验收合格、审计完成后报财政局一次性支付合同价款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一副纸质响应文件及电子版1份（签字盖章扫描PDF和word文档格式，U盘存储）。 2.供应商应自协商文件递交截止时间起至磋商结束，保持在线状态。 3.响应文件中凡是需要法定代表人盖章之处，由分支机构参与投标时，单位负责人均参照执行（法定代表人授权书由单位负责人签授）。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3、提供响应文件递交截止时间前近六个月中至少一个月的纳税证明或完税证明，依法免税的单位应提供相关证明材料；时间以税款所属时期为准 4、提供响应文件递交截止时间前近六个月中至少一个月的社会保障资金缴存单据或社保机构开具的社会保险参保缴费情况证明，依法不需要缴纳社会保障资金的单位应提供相关证明材料。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其他资格证明文件.docx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响应文件封面 其他资格证明文件.docx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供应商磋商报价没有超出采购预算或最高限价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项目实施服务方案</w:t>
            </w:r>
          </w:p>
        </w:tc>
        <w:tc>
          <w:tcPr>
            <w:tcW w:type="dxa" w:w="2492"/>
          </w:tcPr>
          <w:p>
            <w:pPr>
              <w:pStyle w:val="null3"/>
            </w:pPr>
            <w:r>
              <w:rPr>
                <w:rFonts w:ascii="仿宋_GB2312" w:hAnsi="仿宋_GB2312" w:cs="仿宋_GB2312" w:eastAsia="仿宋_GB2312"/>
              </w:rPr>
              <w:t>一、针对本项目提供的需求制定合理的方案，包括但不限于以下内容：①对古树养护管理措施②古树检测及预防保护方案③存在安全隐患的古树提供整改措施④有害生物的防治手段⑤附近环境的清洁管理⑥成果交付结果，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三、赋分标准（满分36分） ①对古树养护管理措施：每满足一个评审标准得2分，不满足得0分，满分6分； ②古树检测及预防保护方案：每满足一个评审标准得2分，不满足得0分，满分6分； ③存在安全隐患的古树提供整改措施：每满足一个评审标准得2分，不满足得0分，满分6分； ④有害生物的防治手段：每满足一个评审标准得2分，不满足得0分，满分6分； ⑤附近环境的清洁管理:每满足一个评审标准得2分，不满足得0分，满分6分； ⑥成果交付结果：每满足一个评审标准得2分，不满足得0分，满分6分；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一、针对本项目提供的需求制定合理的方案，包括但不限于以下内容：①服务质量保证措施；②安全保障措施；③进度的组织措施；④针对本项目突发状况应急预案等及重难点分析，并按照以下标准评审：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三、赋分标准（满分24分） ①服务质量保证措施：每满足一个评审标准得2分，不满足得0分，满分6分； ②安全保障措施：每满足一个评审标准得2分，不满足得0分，满分6分； ③进度的组织措施：每满足一个评审标准得2分，不满足得0分，满分6分； ④针对本项目突发状况应急预案等：每满足一个评审标准得2分，不满足得0分，满分6分；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供应商针对本项目配备的人员团队，包括但不限于人员配备、团队组织机构、职能分工、专业经验等。 （1）拟委派的项目负责人具备林业相关专业中级及以上职称得2分，其余不得分。 （2）专业人员配备数量满足本项目要求或能够保障本项目的实施的的5分，基本满足得3分，较难满足的得1分；未提供或不满足不得分。 （3）提供团队人员详细信息（清单内容应包含：人员姓名、年龄、专业技能、工作经验等）；团队人员专业、经验丰富得5分，人员较专业，具备一定的经验得3分，人员专业性差，经验差得1分； （4）团队组织架构及职能分工科学合理得3分； 团队组织架构及职能分工较合理较清晰得2分。 团队组织架构及职能分工不够合理清晰得1分。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一、供应商针对本项目提供详细作业前培训方案，包括但不限于①科学作业培训②防治重难点培训③安全及应急培训；并按以下标准评审： 二、评审标准 1、完整性：方案必须全面，对评审内容中的各项要求有详细描述； 2、可实施性：切合本项目实际情况，提出步骤清晰、合理的方案； 3、针对性：方案能够紧扣项目实际情况，内容科学合理。 三、赋分标准（满分9分） ①科学作业培训方案：每满足一个评审标准得1分，不满足得0分，满分3分； ②防治重难点培训方案：每满足一个评审标准得1分，不满足得0分，满分3分； ③安全及应急培训方案：每满足一个评审标准得1分，不满足得0分，满分3分；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提供供应商2022年8月1日至今承担的类似项目业绩（合同）（以合同签订日期为准），每提供1个得3分，最高得6分。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详见附件：分项报价明细.docx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详见附件：拟上传的合同.docx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