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BA1D2">
      <w:pPr>
        <w:spacing w:line="500" w:lineRule="exact"/>
        <w:ind w:left="0" w:leftChars="0" w:firstLine="0" w:firstLineChars="0"/>
        <w:jc w:val="center"/>
        <w:rPr>
          <w:rFonts w:hint="eastAsia" w:ascii="仿宋" w:hAnsi="仿宋" w:eastAsia="仿宋" w:cs="仿宋"/>
          <w:b/>
          <w:bCs/>
          <w:sz w:val="44"/>
          <w:szCs w:val="44"/>
          <w:lang w:val="en-US" w:eastAsia="zh-CN"/>
        </w:rPr>
      </w:pPr>
    </w:p>
    <w:p w14:paraId="298E11F2">
      <w:pPr>
        <w:spacing w:line="360" w:lineRule="auto"/>
        <w:ind w:left="0" w:leftChars="0" w:firstLine="0" w:firstLineChars="0"/>
        <w:jc w:val="center"/>
        <w:rPr>
          <w:rFonts w:hint="eastAsia" w:ascii="仿宋" w:hAnsi="仿宋" w:eastAsia="仿宋" w:cs="仿宋"/>
          <w:b/>
          <w:bCs/>
          <w:sz w:val="44"/>
          <w:szCs w:val="44"/>
          <w:lang w:val="en-US" w:eastAsia="zh-CN"/>
        </w:rPr>
      </w:pPr>
    </w:p>
    <w:p w14:paraId="73C9A9F3">
      <w:pPr>
        <w:spacing w:line="360" w:lineRule="auto"/>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2025年其他自然保护地和野生动植物保护（古树名木保护）</w:t>
      </w:r>
    </w:p>
    <w:p w14:paraId="50BC2A85">
      <w:pPr>
        <w:spacing w:line="760" w:lineRule="exact"/>
        <w:ind w:left="0" w:leftChars="0" w:firstLine="0" w:firstLineChars="0"/>
        <w:jc w:val="center"/>
        <w:rPr>
          <w:rFonts w:hint="eastAsia" w:ascii="仿宋" w:hAnsi="仿宋" w:eastAsia="仿宋" w:cs="仿宋"/>
          <w:b/>
          <w:w w:val="90"/>
          <w:sz w:val="44"/>
          <w:szCs w:val="44"/>
        </w:rPr>
      </w:pPr>
    </w:p>
    <w:p w14:paraId="2D9E5406">
      <w:pPr>
        <w:spacing w:line="360" w:lineRule="auto"/>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服</w:t>
      </w:r>
    </w:p>
    <w:p w14:paraId="004F453C">
      <w:pPr>
        <w:spacing w:line="360" w:lineRule="auto"/>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务</w:t>
      </w:r>
    </w:p>
    <w:p w14:paraId="0973FB7D">
      <w:pPr>
        <w:spacing w:line="360" w:lineRule="auto"/>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合</w:t>
      </w:r>
    </w:p>
    <w:p w14:paraId="5CA2E9B4">
      <w:pPr>
        <w:spacing w:line="360" w:lineRule="auto"/>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同</w:t>
      </w:r>
    </w:p>
    <w:p w14:paraId="51647C81">
      <w:pPr>
        <w:spacing w:line="560" w:lineRule="exact"/>
        <w:ind w:left="0" w:leftChars="0" w:firstLine="0" w:firstLineChars="0"/>
        <w:rPr>
          <w:rFonts w:ascii="宋体" w:hAnsi="宋体" w:cs="宋体"/>
          <w:szCs w:val="21"/>
        </w:rPr>
      </w:pPr>
    </w:p>
    <w:p w14:paraId="2F055957">
      <w:pPr>
        <w:spacing w:line="560" w:lineRule="exact"/>
        <w:ind w:left="0" w:leftChars="0" w:firstLine="0" w:firstLineChars="0"/>
        <w:rPr>
          <w:rFonts w:ascii="宋体" w:hAnsi="宋体" w:cs="宋体"/>
          <w:szCs w:val="21"/>
        </w:rPr>
      </w:pPr>
    </w:p>
    <w:p w14:paraId="7A29ADFC">
      <w:pPr>
        <w:spacing w:line="500" w:lineRule="exact"/>
        <w:ind w:left="0" w:leftChars="0" w:firstLine="0" w:firstLineChars="0"/>
        <w:rPr>
          <w:rFonts w:hint="eastAsia" w:ascii="仿宋" w:hAnsi="仿宋" w:eastAsia="仿宋" w:cs="仿宋"/>
          <w:szCs w:val="21"/>
        </w:rPr>
      </w:pPr>
    </w:p>
    <w:p w14:paraId="0FFA3DA0">
      <w:pPr>
        <w:spacing w:line="760" w:lineRule="exact"/>
        <w:ind w:left="0" w:leftChars="0" w:firstLine="0" w:firstLineChars="0"/>
        <w:jc w:val="center"/>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 xml:space="preserve">  </w:t>
      </w:r>
    </w:p>
    <w:p w14:paraId="0D694A59">
      <w:pPr>
        <w:spacing w:line="500" w:lineRule="exact"/>
        <w:ind w:left="0" w:leftChars="0" w:firstLine="0" w:firstLineChars="0"/>
        <w:rPr>
          <w:rFonts w:hint="eastAsia" w:ascii="仿宋" w:hAnsi="仿宋" w:eastAsia="仿宋" w:cs="仿宋"/>
          <w:b/>
          <w:bCs/>
          <w:sz w:val="28"/>
          <w:szCs w:val="28"/>
        </w:rPr>
      </w:pPr>
    </w:p>
    <w:p w14:paraId="19FB60B5">
      <w:pPr>
        <w:spacing w:line="500" w:lineRule="exact"/>
        <w:ind w:left="0" w:leftChars="0" w:firstLine="0" w:firstLineChars="0"/>
        <w:rPr>
          <w:rFonts w:ascii="仿宋" w:hAnsi="仿宋" w:eastAsia="仿宋" w:cs="仿宋"/>
          <w:b/>
          <w:bCs/>
          <w:sz w:val="28"/>
          <w:szCs w:val="28"/>
        </w:rPr>
      </w:pPr>
      <w:r>
        <w:rPr>
          <w:rFonts w:hint="eastAsia" w:ascii="仿宋" w:hAnsi="仿宋" w:eastAsia="仿宋" w:cs="仿宋"/>
          <w:b/>
          <w:bCs/>
          <w:sz w:val="28"/>
          <w:szCs w:val="28"/>
          <w:lang w:val="en-US" w:eastAsia="zh-CN"/>
        </w:rPr>
        <w:t>采购人（</w:t>
      </w:r>
      <w:r>
        <w:rPr>
          <w:rFonts w:hint="eastAsia" w:ascii="仿宋" w:hAnsi="仿宋" w:eastAsia="仿宋" w:cs="仿宋"/>
          <w:b/>
          <w:bCs/>
          <w:sz w:val="28"/>
          <w:szCs w:val="28"/>
        </w:rPr>
        <w:t>甲方</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 xml:space="preserve">西安市长安区林业工作站      </w:t>
      </w:r>
      <w:r>
        <w:rPr>
          <w:rFonts w:hint="eastAsia" w:ascii="仿宋" w:hAnsi="仿宋" w:eastAsia="仿宋" w:cs="仿宋"/>
          <w:b/>
          <w:bCs/>
          <w:sz w:val="28"/>
          <w:szCs w:val="28"/>
        </w:rPr>
        <w:t xml:space="preserve">                        </w:t>
      </w:r>
    </w:p>
    <w:p w14:paraId="117EA6A5">
      <w:pPr>
        <w:spacing w:line="500" w:lineRule="exact"/>
        <w:ind w:left="0" w:leftChars="0" w:firstLine="0" w:firstLineChars="0"/>
        <w:rPr>
          <w:rFonts w:ascii="仿宋" w:hAnsi="仿宋" w:eastAsia="仿宋" w:cs="仿宋"/>
          <w:b/>
          <w:bCs/>
          <w:sz w:val="28"/>
          <w:szCs w:val="28"/>
        </w:rPr>
      </w:pPr>
      <w:r>
        <w:rPr>
          <w:rFonts w:hint="eastAsia" w:ascii="仿宋" w:hAnsi="仿宋" w:eastAsia="仿宋" w:cs="仿宋"/>
          <w:b/>
          <w:bCs/>
          <w:sz w:val="28"/>
          <w:szCs w:val="28"/>
          <w:lang w:val="en-US" w:eastAsia="zh-CN"/>
        </w:rPr>
        <w:t>成交人（</w:t>
      </w:r>
      <w:r>
        <w:rPr>
          <w:rFonts w:hint="eastAsia" w:ascii="仿宋" w:hAnsi="仿宋" w:eastAsia="仿宋" w:cs="仿宋"/>
          <w:b/>
          <w:bCs/>
          <w:sz w:val="28"/>
          <w:szCs w:val="28"/>
        </w:rPr>
        <w:t>乙方</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 xml:space="preserve">：                              </w:t>
      </w:r>
    </w:p>
    <w:p w14:paraId="4D104783">
      <w:pPr>
        <w:spacing w:line="500" w:lineRule="exact"/>
        <w:ind w:left="0" w:leftChars="0" w:firstLine="0" w:firstLineChars="0"/>
        <w:rPr>
          <w:rFonts w:hint="eastAsia" w:ascii="仿宋" w:hAnsi="仿宋" w:eastAsia="仿宋" w:cs="仿宋"/>
          <w:b/>
          <w:bCs/>
          <w:sz w:val="28"/>
          <w:szCs w:val="28"/>
          <w:lang w:val="en-US" w:eastAsia="zh-CN"/>
        </w:rPr>
      </w:pPr>
    </w:p>
    <w:p w14:paraId="1D94078B">
      <w:pPr>
        <w:spacing w:line="500" w:lineRule="exact"/>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签订地点：</w:t>
      </w:r>
    </w:p>
    <w:p w14:paraId="47BAC766">
      <w:pPr>
        <w:spacing w:line="500" w:lineRule="exact"/>
        <w:ind w:left="0" w:leftChars="0" w:firstLine="0" w:firstLineChars="0"/>
        <w:rPr>
          <w:rFonts w:ascii="仿宋" w:hAnsi="仿宋" w:eastAsia="仿宋" w:cs="仿宋"/>
          <w:b/>
          <w:bCs/>
          <w:szCs w:val="21"/>
        </w:rPr>
      </w:pPr>
      <w:r>
        <w:rPr>
          <w:rFonts w:hint="eastAsia" w:ascii="仿宋" w:hAnsi="仿宋" w:eastAsia="仿宋" w:cs="仿宋"/>
          <w:b/>
          <w:bCs/>
          <w:sz w:val="28"/>
          <w:szCs w:val="28"/>
        </w:rPr>
        <w:t xml:space="preserve">签订日期：     </w:t>
      </w:r>
      <w:r>
        <w:rPr>
          <w:rFonts w:hint="eastAsia" w:ascii="仿宋" w:hAnsi="仿宋" w:eastAsia="仿宋" w:cs="仿宋"/>
          <w:b/>
          <w:bCs/>
          <w:szCs w:val="21"/>
        </w:rPr>
        <w:t xml:space="preserve"> </w:t>
      </w:r>
    </w:p>
    <w:p w14:paraId="52457EEB">
      <w:pPr>
        <w:spacing w:line="500" w:lineRule="exact"/>
        <w:ind w:left="0" w:leftChars="0" w:firstLine="0" w:firstLineChars="0"/>
        <w:rPr>
          <w:rFonts w:hint="eastAsia" w:ascii="仿宋" w:hAnsi="仿宋" w:eastAsia="仿宋" w:cs="仿宋"/>
          <w:b/>
          <w:bCs/>
          <w:szCs w:val="21"/>
        </w:rPr>
      </w:pPr>
    </w:p>
    <w:p w14:paraId="22D3CB0C">
      <w:pPr>
        <w:spacing w:line="500" w:lineRule="exact"/>
        <w:ind w:left="0" w:leftChars="0" w:firstLine="0" w:firstLineChars="0"/>
        <w:rPr>
          <w:rFonts w:hint="eastAsia" w:ascii="仿宋" w:hAnsi="仿宋" w:eastAsia="仿宋" w:cs="仿宋"/>
          <w:b/>
          <w:bCs/>
          <w:szCs w:val="21"/>
        </w:rPr>
      </w:pPr>
    </w:p>
    <w:p w14:paraId="29906B45">
      <w:pPr>
        <w:ind w:left="0" w:leftChars="0" w:firstLine="0" w:firstLineChars="0"/>
        <w:rPr>
          <w:rFonts w:hint="eastAsia" w:ascii="仿宋" w:hAnsi="仿宋" w:eastAsia="仿宋" w:cs="仿宋"/>
          <w:b/>
          <w:w w:val="90"/>
          <w:sz w:val="28"/>
          <w:szCs w:val="28"/>
          <w:lang w:eastAsia="zh-CN"/>
        </w:rPr>
      </w:pPr>
      <w:r>
        <w:rPr>
          <w:rFonts w:hint="eastAsia" w:ascii="仿宋" w:hAnsi="仿宋" w:eastAsia="仿宋" w:cs="仿宋"/>
          <w:b/>
          <w:w w:val="90"/>
          <w:sz w:val="28"/>
          <w:szCs w:val="28"/>
          <w:lang w:eastAsia="zh-CN"/>
        </w:rPr>
        <w:br w:type="page"/>
      </w:r>
    </w:p>
    <w:p w14:paraId="7BCF5288">
      <w:pPr>
        <w:spacing w:line="500" w:lineRule="exact"/>
        <w:ind w:left="0" w:leftChars="0" w:firstLine="0" w:firstLineChars="0"/>
        <w:rPr>
          <w:rFonts w:hint="eastAsia" w:ascii="仿宋" w:hAnsi="仿宋" w:eastAsia="仿宋" w:cs="仿宋"/>
          <w:sz w:val="24"/>
          <w:szCs w:val="24"/>
        </w:rPr>
      </w:pPr>
      <w:r>
        <w:rPr>
          <w:rFonts w:hint="eastAsia" w:ascii="仿宋" w:hAnsi="仿宋" w:eastAsia="仿宋" w:cs="仿宋"/>
          <w:b/>
          <w:w w:val="90"/>
          <w:sz w:val="28"/>
          <w:szCs w:val="28"/>
          <w:lang w:eastAsia="zh-CN"/>
        </w:rPr>
        <w:t>2025年其他自然保护地和野生动植物保护（古树名木保护）服务合同</w:t>
      </w:r>
    </w:p>
    <w:p w14:paraId="372E55B6">
      <w:pPr>
        <w:spacing w:line="500" w:lineRule="exact"/>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采购人(甲方):西安市长安区林业工作站</w:t>
      </w:r>
    </w:p>
    <w:p w14:paraId="5E7E202A">
      <w:pPr>
        <w:spacing w:line="500" w:lineRule="exact"/>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成交人(乙方):</w:t>
      </w:r>
    </w:p>
    <w:p w14:paraId="3FEE8A1D">
      <w:pPr>
        <w:spacing w:line="500" w:lineRule="exact"/>
        <w:ind w:left="0" w:leftChars="0" w:firstLine="0" w:firstLineChars="0"/>
        <w:rPr>
          <w:rFonts w:hint="eastAsia" w:ascii="仿宋" w:hAnsi="仿宋" w:eastAsia="仿宋" w:cs="仿宋"/>
          <w:sz w:val="24"/>
          <w:szCs w:val="24"/>
          <w:lang w:eastAsia="zh-CN"/>
        </w:rPr>
      </w:pPr>
    </w:p>
    <w:p w14:paraId="7F020D27">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2025年其他自然保护地和野生动植物保护（古树名木保护）</w:t>
      </w:r>
      <w:r>
        <w:rPr>
          <w:rFonts w:hint="eastAsia" w:ascii="仿宋" w:hAnsi="仿宋" w:eastAsia="仿宋" w:cs="仿宋"/>
          <w:sz w:val="24"/>
          <w:szCs w:val="24"/>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;包号:1)，由</w:t>
      </w:r>
      <w:r>
        <w:rPr>
          <w:rFonts w:hint="eastAsia" w:ascii="仿宋" w:hAnsi="仿宋" w:eastAsia="仿宋" w:cs="仿宋"/>
          <w:sz w:val="24"/>
          <w:szCs w:val="24"/>
          <w:lang w:eastAsia="zh-CN"/>
        </w:rPr>
        <w:t>陕西省采购招标有限责任公司</w:t>
      </w:r>
      <w:r>
        <w:rPr>
          <w:rFonts w:hint="eastAsia" w:ascii="仿宋" w:hAnsi="仿宋" w:eastAsia="仿宋" w:cs="仿宋"/>
          <w:sz w:val="24"/>
          <w:szCs w:val="24"/>
        </w:rPr>
        <w:t>组织竞争性磋商。西安市长安区林业工作站(以下简称“甲方”)确定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(以下简称“乙方”)为成交单位。</w:t>
      </w:r>
    </w:p>
    <w:p w14:paraId="02F6E802">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依据《中华人民共和国民法典》和《中华人民共和国政府采购法》及相关法律法规的规定，甲方通过竞争性磋商采购</w:t>
      </w:r>
      <w:r>
        <w:rPr>
          <w:rFonts w:hint="eastAsia" w:ascii="仿宋" w:hAnsi="仿宋" w:eastAsia="仿宋" w:cs="仿宋"/>
          <w:sz w:val="24"/>
          <w:szCs w:val="24"/>
          <w:lang w:eastAsia="zh-CN"/>
        </w:rPr>
        <w:t>2025年其他自然保护地和野生动植物保护（古树名木保护）</w:t>
      </w:r>
      <w:r>
        <w:rPr>
          <w:rFonts w:hint="eastAsia" w:ascii="仿宋" w:hAnsi="仿宋" w:eastAsia="仿宋" w:cs="仿宋"/>
          <w:sz w:val="24"/>
          <w:szCs w:val="24"/>
        </w:rPr>
        <w:t>，甲、乙双方在平等自愿原则下签订本合同，并共同遵守如下条款:</w:t>
      </w:r>
    </w:p>
    <w:p w14:paraId="22A5976D">
      <w:pPr>
        <w:keepNext w:val="0"/>
        <w:keepLines w:val="0"/>
        <w:pageBreakBefore w:val="0"/>
        <w:wordWrap/>
        <w:topLinePunct w:val="0"/>
        <w:bidi w:val="0"/>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委托工作内容：</w:t>
      </w:r>
      <w:r>
        <w:rPr>
          <w:rFonts w:hint="eastAsia" w:ascii="仿宋" w:hAnsi="仿宋" w:eastAsia="仿宋" w:cs="仿宋"/>
          <w:sz w:val="24"/>
          <w:szCs w:val="24"/>
          <w:lang w:eastAsia="zh-CN"/>
        </w:rPr>
        <w:t>2025年其他自然保护地和野生动植物保护（古树名木保护）</w:t>
      </w:r>
      <w:r>
        <w:rPr>
          <w:rFonts w:hint="eastAsia" w:ascii="仿宋" w:hAnsi="仿宋" w:eastAsia="仿宋" w:cs="仿宋"/>
          <w:sz w:val="24"/>
          <w:szCs w:val="24"/>
          <w:lang w:val="en-US" w:eastAsia="zh-CN"/>
        </w:rPr>
        <w:t>主</w:t>
      </w:r>
      <w:r>
        <w:rPr>
          <w:rFonts w:hint="eastAsia" w:ascii="仿宋" w:hAnsi="仿宋" w:eastAsia="仿宋" w:cs="仿宋"/>
          <w:sz w:val="24"/>
          <w:szCs w:val="24"/>
          <w:highlight w:val="none"/>
          <w:lang w:val="en-US" w:eastAsia="zh-CN"/>
        </w:rPr>
        <w:t>要对4株特级2株一级古树</w:t>
      </w:r>
      <w:r>
        <w:rPr>
          <w:rFonts w:hint="eastAsia" w:ascii="仿宋" w:hAnsi="仿宋" w:eastAsia="仿宋" w:cs="仿宋"/>
          <w:sz w:val="24"/>
          <w:szCs w:val="24"/>
          <w:lang w:val="en-US" w:eastAsia="zh-CN"/>
        </w:rPr>
        <w:t>名木的抢救复壮。</w:t>
      </w:r>
    </w:p>
    <w:p w14:paraId="4987BD73">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一、合同价款</w:t>
      </w:r>
    </w:p>
    <w:p w14:paraId="069EE79D">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(一)合同总价款为人民币(大写)</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p>
    <w:p w14:paraId="25D18ACE">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(二)本项目要求的全部磋商内容最终价格的体现。价格应包含所有实施费用及其他不可预见的费用等及可能发生的所有与完成本项目相关服务及履行合</w:t>
      </w:r>
      <w:bookmarkStart w:id="0" w:name="_GoBack"/>
      <w:bookmarkEnd w:id="0"/>
      <w:r>
        <w:rPr>
          <w:rFonts w:hint="eastAsia" w:ascii="仿宋" w:hAnsi="仿宋" w:eastAsia="仿宋" w:cs="仿宋"/>
          <w:sz w:val="24"/>
          <w:szCs w:val="24"/>
        </w:rPr>
        <w:t>同义务有关的一切费用</w:t>
      </w:r>
      <w:r>
        <w:rPr>
          <w:rFonts w:hint="eastAsia" w:ascii="仿宋" w:hAnsi="仿宋" w:eastAsia="仿宋" w:cs="仿宋"/>
          <w:sz w:val="24"/>
          <w:szCs w:val="24"/>
          <w:lang w:eastAsia="zh-CN"/>
        </w:rPr>
        <w:t>，</w:t>
      </w:r>
      <w:r>
        <w:rPr>
          <w:rFonts w:hint="eastAsia" w:ascii="仿宋" w:hAnsi="仿宋" w:eastAsia="仿宋" w:cs="仿宋"/>
          <w:sz w:val="24"/>
          <w:szCs w:val="24"/>
        </w:rPr>
        <w:t>合同总价一次包死，不受市场价变化的影响。</w:t>
      </w:r>
    </w:p>
    <w:p w14:paraId="0ABCE60E">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二、款项结算</w:t>
      </w:r>
    </w:p>
    <w:p w14:paraId="1189C645">
      <w:pPr>
        <w:pStyle w:val="11"/>
        <w:keepNext w:val="0"/>
        <w:keepLines w:val="0"/>
        <w:pageBreakBefore w:val="0"/>
        <w:wordWrap/>
        <w:topLinePunct w:val="0"/>
        <w:bidi w:val="0"/>
        <w:snapToGrid/>
        <w:spacing w:line="360" w:lineRule="auto"/>
        <w:ind w:left="0" w:leftChars="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rPr>
        <w:t>(一)付款方式:</w:t>
      </w:r>
      <w:r>
        <w:rPr>
          <w:rFonts w:hint="eastAsia" w:ascii="仿宋" w:hAnsi="仿宋" w:eastAsia="仿宋" w:cs="仿宋"/>
          <w:sz w:val="24"/>
          <w:szCs w:val="24"/>
          <w:highlight w:val="none"/>
        </w:rPr>
        <w:t xml:space="preserve"> </w:t>
      </w:r>
      <w:r>
        <w:rPr>
          <w:rFonts w:hint="default" w:ascii="仿宋" w:hAnsi="仿宋" w:eastAsia="仿宋" w:cs="仿宋"/>
          <w:sz w:val="24"/>
          <w:szCs w:val="24"/>
          <w:highlight w:val="none"/>
          <w:lang w:val="en-US" w:eastAsia="zh-CN"/>
        </w:rPr>
        <w:t>项目完成，由采购方组织上级主管部门、财政、监理统一验收。验收合格、审计完成后报财政局一次性支付合同价款 ，达到付款条件起 30 日内，支付合同总金额的 100.00%。</w:t>
      </w:r>
    </w:p>
    <w:p w14:paraId="26CD308F">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(二)支付方式:银行转账</w:t>
      </w:r>
      <w:r>
        <w:rPr>
          <w:rFonts w:hint="eastAsia" w:ascii="仿宋" w:hAnsi="仿宋" w:eastAsia="仿宋" w:cs="仿宋"/>
          <w:sz w:val="24"/>
          <w:szCs w:val="24"/>
          <w:lang w:eastAsia="zh-CN"/>
        </w:rPr>
        <w:t>；</w:t>
      </w:r>
    </w:p>
    <w:p w14:paraId="1A6BFD30">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(三)结算单位:由采购人负责结算，乙方开具相应金额发票交采购人</w:t>
      </w:r>
      <w:r>
        <w:rPr>
          <w:rFonts w:hint="eastAsia" w:ascii="仿宋" w:hAnsi="仿宋" w:eastAsia="仿宋" w:cs="仿宋"/>
          <w:sz w:val="24"/>
          <w:szCs w:val="24"/>
          <w:lang w:eastAsia="zh-CN"/>
        </w:rPr>
        <w:t>。</w:t>
      </w:r>
    </w:p>
    <w:p w14:paraId="719C2586">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三、服务要求</w:t>
      </w:r>
    </w:p>
    <w:p w14:paraId="42363DD4">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(一)服务地点:甲方指定的地点</w:t>
      </w:r>
      <w:r>
        <w:rPr>
          <w:rFonts w:hint="eastAsia" w:ascii="仿宋" w:hAnsi="仿宋" w:eastAsia="仿宋" w:cs="仿宋"/>
          <w:sz w:val="24"/>
          <w:szCs w:val="24"/>
          <w:lang w:eastAsia="zh-CN"/>
        </w:rPr>
        <w:t>；</w:t>
      </w:r>
    </w:p>
    <w:p w14:paraId="33167789">
      <w:pPr>
        <w:pStyle w:val="11"/>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(二)服务</w:t>
      </w:r>
      <w:r>
        <w:rPr>
          <w:rFonts w:hint="eastAsia" w:ascii="仿宋" w:hAnsi="仿宋" w:eastAsia="仿宋" w:cs="仿宋"/>
          <w:kern w:val="2"/>
          <w:sz w:val="24"/>
          <w:szCs w:val="24"/>
          <w:lang w:val="en-US" w:eastAsia="zh-CN" w:bidi="ar-SA"/>
        </w:rPr>
        <w:t>期限</w:t>
      </w:r>
      <w:r>
        <w:rPr>
          <w:rFonts w:hint="eastAsia" w:ascii="仿宋" w:hAnsi="仿宋" w:eastAsia="仿宋" w:cs="仿宋"/>
          <w:kern w:val="2"/>
          <w:sz w:val="24"/>
          <w:szCs w:val="24"/>
          <w:highlight w:val="none"/>
          <w:lang w:val="en-US" w:eastAsia="zh-CN" w:bidi="ar-SA"/>
        </w:rPr>
        <w:t>:合同签订之日起至2025年10月31日；</w:t>
      </w:r>
    </w:p>
    <w:p w14:paraId="2E779F80">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(三)服务内容:</w:t>
      </w:r>
    </w:p>
    <w:p w14:paraId="7EBFB281">
      <w:pPr>
        <w:pStyle w:val="11"/>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360" w:lineRule="auto"/>
        <w:ind w:left="0" w:leftChars="0" w:firstLine="480" w:firstLineChars="200"/>
        <w:jc w:val="left"/>
        <w:textAlignment w:val="auto"/>
        <w:rPr>
          <w:rFonts w:hint="eastAsia" w:ascii="仿宋" w:hAnsi="仿宋" w:eastAsia="仿宋" w:cs="仿宋"/>
          <w:lang w:eastAsia="zh-CN"/>
        </w:rPr>
      </w:pPr>
      <w:r>
        <w:rPr>
          <w:rFonts w:hint="eastAsia" w:ascii="仿宋" w:hAnsi="仿宋" w:eastAsia="仿宋" w:cs="仿宋"/>
          <w:kern w:val="2"/>
          <w:sz w:val="24"/>
          <w:szCs w:val="24"/>
          <w:lang w:val="en-US" w:eastAsia="zh-CN" w:bidi="ar-SA"/>
        </w:rPr>
        <w:t>1）对长安区大兆街道庞留村国槐树（编号 61011600001）；黄良街办湖村小学白皮松树（编号 61011600043）、滦镇街办甘泉街西口圆柏树（编号 61011600056）、滦镇街办中心街西口庙门前圆柏树（ 编 号 61011600057 ） 、 砲 里 街 道 西 垇 村 国 槐 树 （ 编 号 61011600079）、韦曲街办富丽城黄河小学对面皂荚树（编号61011600139）的六棵古树进行实地调查，掌握古树树龄、长势、病虫害等现状，针对枝条干枯断裂、树干树枝腐朽、周边环境破坏、 土壤板结退化等问题，实施全方位保护；对老化、受损枝条进行科学修剪，清理枯枝并涂抹伤口愈合剂；支撑加固脆弱枝干、对树体空洞、腐朽部位进行清理及仿真修补；划定古树保护区域，移除周边违建、拆除地砖铺设地面，恢复透水透气生长环境；增设围栏、 警示牌、监控防止人为破坏；打孔透气等方式改善土壤结构，增强保水保肥能力；同时建立动态监测系统，定期跟踪古树生长状况， 确保保护措施持续发挥实效，为古树生长创造良好条件。</w:t>
      </w:r>
    </w:p>
    <w:p w14:paraId="672F05FB">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2）项目建设背景</w:t>
      </w:r>
    </w:p>
    <w:p w14:paraId="46FBD4A6">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2025 年 3 月 15 日，《古树名木保护条例》正式施行，规定县级以上人民政府应当将开展古树名木保护管理工作所需经费列入本级预算。《西安市古树名木保护条例》也要求市、区县人民政府将古树名木保护经费列入本级财政预算，用于养护补助等工作。 古树保护现状需求：长安区古树名木存量大，现有散生古树名 木 267 株，还有 3 个古树名木群。此前，长安区部分古树存在枯死、 人为砍伐、病虫害、树干折断等管护不到位的情况，需要资金进行抢救、复壮和日常养护。 提升管护水平需要：为加强古树名木保护，长安区开展了专项行动，推进建立智慧化监测系统，完善林长制工作实施方案等，这些工作的开展需要财政资金支持，以保障古树名木得到长期有效的管护。</w:t>
      </w:r>
    </w:p>
    <w:p w14:paraId="345C89CD">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3）对辖区内 6 棵古树开展保护，应以古树生长发育的需要为基础， 结合古树名木生长发育遇到的具体问题，以及它们特定的生长环境， 以改善生存条件、促进恢复树势，延长古树的生长寿命为目的，同时考虑古树名木的旅游观光需要，进行抢救保护。</w:t>
      </w:r>
    </w:p>
    <w:p w14:paraId="68D4D4E9">
      <w:pPr>
        <w:keepNext w:val="0"/>
        <w:keepLines w:val="0"/>
        <w:pageBreakBefore w:val="0"/>
        <w:numPr>
          <w:ilvl w:val="0"/>
          <w:numId w:val="0"/>
        </w:numPr>
        <w:wordWrap/>
        <w:topLinePunct w:val="0"/>
        <w:bidi w:val="0"/>
        <w:snapToGrid/>
        <w:spacing w:line="360" w:lineRule="auto"/>
        <w:ind w:left="0" w:leftChars="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质量保证</w:t>
      </w:r>
    </w:p>
    <w:p w14:paraId="5DE372A4">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lang w:val="en-US" w:eastAsia="zh-CN" w:bidi="ar-SA"/>
        </w:rPr>
        <w:t>①</w:t>
      </w:r>
      <w:r>
        <w:rPr>
          <w:rFonts w:hint="default" w:ascii="仿宋" w:hAnsi="仿宋" w:eastAsia="仿宋" w:cs="仿宋"/>
          <w:kern w:val="2"/>
          <w:sz w:val="24"/>
          <w:szCs w:val="24"/>
          <w:highlight w:val="none"/>
          <w:lang w:val="en-US" w:eastAsia="zh-CN" w:bidi="ar-SA"/>
        </w:rPr>
        <w:t>复壮效果标准:古树生长状况正常，病虫害得到有效控制，树体周边环境整洁，符合古树养护复壮技术规范要求。</w:t>
      </w:r>
    </w:p>
    <w:p w14:paraId="5E70C9BA">
      <w:pPr>
        <w:pStyle w:val="11"/>
        <w:keepNext w:val="0"/>
        <w:keepLines w:val="0"/>
        <w:pageBreakBefore w:val="0"/>
        <w:wordWrap/>
        <w:topLinePunct w:val="0"/>
        <w:bidi w:val="0"/>
        <w:snapToGrid/>
        <w:spacing w:line="360" w:lineRule="auto"/>
        <w:ind w:left="0" w:leftChars="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w:t>
      </w:r>
      <w:r>
        <w:rPr>
          <w:rFonts w:hint="default" w:ascii="仿宋" w:hAnsi="仿宋" w:eastAsia="仿宋" w:cs="仿宋"/>
          <w:sz w:val="24"/>
          <w:szCs w:val="24"/>
          <w:highlight w:val="none"/>
          <w:lang w:val="en-US" w:eastAsia="zh-CN"/>
        </w:rPr>
        <w:t>监控</w:t>
      </w:r>
      <w:r>
        <w:rPr>
          <w:rFonts w:hint="eastAsia" w:ascii="仿宋" w:hAnsi="仿宋" w:eastAsia="仿宋" w:cs="仿宋"/>
          <w:sz w:val="24"/>
          <w:szCs w:val="24"/>
          <w:highlight w:val="none"/>
          <w:lang w:val="en-US" w:eastAsia="zh-CN"/>
        </w:rPr>
        <w:t>要求</w:t>
      </w:r>
      <w:r>
        <w:rPr>
          <w:rFonts w:hint="default" w:ascii="仿宋" w:hAnsi="仿宋" w:eastAsia="仿宋" w:cs="仿宋"/>
          <w:sz w:val="24"/>
          <w:szCs w:val="24"/>
          <w:highlight w:val="none"/>
          <w:lang w:val="en-US" w:eastAsia="zh-CN"/>
        </w:rPr>
        <w:t>:监控系统应具备较高的保密性和防篡改能力</w:t>
      </w:r>
      <w:r>
        <w:rPr>
          <w:rFonts w:hint="eastAsia" w:ascii="仿宋" w:hAnsi="仿宋" w:eastAsia="仿宋" w:cs="仿宋"/>
          <w:sz w:val="24"/>
          <w:szCs w:val="24"/>
          <w:highlight w:val="none"/>
          <w:lang w:val="en-US" w:eastAsia="zh-CN"/>
        </w:rPr>
        <w:t>，在各种天气及光线下画面清晰并</w:t>
      </w:r>
      <w:r>
        <w:rPr>
          <w:rFonts w:hint="default" w:ascii="仿宋" w:hAnsi="仿宋" w:eastAsia="仿宋" w:cs="仿宋"/>
          <w:sz w:val="24"/>
          <w:szCs w:val="24"/>
          <w:highlight w:val="none"/>
          <w:lang w:val="en-US" w:eastAsia="zh-CN"/>
        </w:rPr>
        <w:t>能够进行循环录像</w:t>
      </w:r>
      <w:r>
        <w:rPr>
          <w:rFonts w:hint="eastAsia" w:ascii="仿宋" w:hAnsi="仿宋" w:eastAsia="仿宋" w:cs="仿宋"/>
          <w:sz w:val="24"/>
          <w:szCs w:val="24"/>
          <w:highlight w:val="none"/>
          <w:lang w:val="en-US" w:eastAsia="zh-CN"/>
        </w:rPr>
        <w:t>等，</w:t>
      </w:r>
      <w:r>
        <w:rPr>
          <w:rFonts w:hint="default" w:ascii="仿宋" w:hAnsi="仿宋" w:eastAsia="仿宋" w:cs="仿宋"/>
          <w:sz w:val="24"/>
          <w:szCs w:val="24"/>
          <w:highlight w:val="none"/>
          <w:lang w:val="en-US" w:eastAsia="zh-CN"/>
        </w:rPr>
        <w:t>监控系统的软、硬件设备要求运行稳定，故障率低，容错性强</w:t>
      </w:r>
      <w:r>
        <w:rPr>
          <w:rFonts w:hint="eastAsia" w:ascii="仿宋" w:hAnsi="仿宋" w:eastAsia="仿宋" w:cs="仿宋"/>
          <w:sz w:val="24"/>
          <w:szCs w:val="24"/>
          <w:highlight w:val="none"/>
          <w:lang w:val="en-US" w:eastAsia="zh-CN"/>
        </w:rPr>
        <w:t>等</w:t>
      </w:r>
      <w:r>
        <w:rPr>
          <w:rFonts w:hint="default" w:ascii="仿宋" w:hAnsi="仿宋" w:eastAsia="仿宋" w:cs="仿宋"/>
          <w:sz w:val="24"/>
          <w:szCs w:val="24"/>
          <w:highlight w:val="none"/>
          <w:lang w:val="en-US" w:eastAsia="zh-CN"/>
        </w:rPr>
        <w:t>。</w:t>
      </w:r>
      <w:r>
        <w:rPr>
          <w:rFonts w:hint="eastAsia" w:ascii="仿宋" w:hAnsi="仿宋" w:eastAsia="仿宋" w:cs="仿宋"/>
          <w:sz w:val="24"/>
          <w:szCs w:val="24"/>
          <w:highlight w:val="none"/>
          <w:lang w:val="en-US" w:eastAsia="zh-CN"/>
        </w:rPr>
        <w:t>同时</w:t>
      </w:r>
      <w:r>
        <w:rPr>
          <w:rFonts w:hint="default" w:ascii="仿宋" w:hAnsi="仿宋" w:eastAsia="仿宋" w:cs="仿宋"/>
          <w:sz w:val="24"/>
          <w:szCs w:val="24"/>
          <w:highlight w:val="none"/>
          <w:lang w:val="en-US" w:eastAsia="zh-CN"/>
        </w:rPr>
        <w:t>具备防止数据被破坏、窃取、丢失等安全措施，以及健全的安全级别控制</w:t>
      </w:r>
      <w:r>
        <w:rPr>
          <w:rFonts w:hint="eastAsia" w:ascii="仿宋" w:hAnsi="仿宋" w:eastAsia="仿宋" w:cs="仿宋"/>
          <w:sz w:val="24"/>
          <w:szCs w:val="24"/>
          <w:highlight w:val="none"/>
          <w:lang w:val="en-US" w:eastAsia="zh-CN"/>
        </w:rPr>
        <w:t>。</w:t>
      </w:r>
    </w:p>
    <w:p w14:paraId="4593C84E">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w:t>
      </w:r>
      <w:r>
        <w:rPr>
          <w:rFonts w:hint="default" w:ascii="仿宋" w:hAnsi="仿宋" w:eastAsia="仿宋" w:cs="仿宋"/>
          <w:kern w:val="2"/>
          <w:sz w:val="24"/>
          <w:szCs w:val="24"/>
          <w:lang w:val="en-US" w:eastAsia="zh-CN" w:bidi="ar-SA"/>
        </w:rPr>
        <w:t>保护修缮措施:树洞填充牢固、防腐处理到位、加固设施安全可靠等</w:t>
      </w:r>
      <w:r>
        <w:rPr>
          <w:rFonts w:hint="eastAsia" w:ascii="仿宋" w:hAnsi="仿宋" w:eastAsia="仿宋" w:cs="仿宋"/>
          <w:kern w:val="2"/>
          <w:sz w:val="24"/>
          <w:szCs w:val="24"/>
          <w:lang w:val="en-US" w:eastAsia="zh-CN" w:bidi="ar-SA"/>
        </w:rPr>
        <w:t>。</w:t>
      </w:r>
    </w:p>
    <w:p w14:paraId="4BE8069C">
      <w:pPr>
        <w:pStyle w:val="11"/>
        <w:keepNext w:val="0"/>
        <w:keepLines w:val="0"/>
        <w:pageBreakBefore w:val="0"/>
        <w:numPr>
          <w:ilvl w:val="0"/>
          <w:numId w:val="0"/>
        </w:numPr>
        <w:wordWrap/>
        <w:topLinePunct w:val="0"/>
        <w:bidi w:val="0"/>
        <w:snapToGrid/>
        <w:spacing w:line="360" w:lineRule="auto"/>
        <w:ind w:left="0" w:leftChars="0"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④</w:t>
      </w:r>
      <w:r>
        <w:rPr>
          <w:rFonts w:hint="default" w:ascii="仿宋" w:hAnsi="仿宋" w:eastAsia="仿宋" w:cs="仿宋"/>
          <w:kern w:val="2"/>
          <w:sz w:val="24"/>
          <w:szCs w:val="24"/>
          <w:lang w:val="en-US" w:eastAsia="zh-CN" w:bidi="ar-SA"/>
        </w:rPr>
        <w:t>交付成果完整性:供应商按要求提交所有交付成果，且成果内容符合规定格式和质量要求。</w:t>
      </w:r>
    </w:p>
    <w:p w14:paraId="053AB13C">
      <w:pPr>
        <w:keepNext w:val="0"/>
        <w:keepLines w:val="0"/>
        <w:pageBreakBefore w:val="0"/>
        <w:numPr>
          <w:ilvl w:val="0"/>
          <w:numId w:val="0"/>
        </w:numPr>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甲方的权利及义务</w:t>
      </w:r>
    </w:p>
    <w:p w14:paraId="7F4666E2">
      <w:pPr>
        <w:keepNext w:val="0"/>
        <w:keepLines w:val="0"/>
        <w:pageBreakBefore w:val="0"/>
        <w:wordWrap/>
        <w:topLinePunct w:val="0"/>
        <w:bidi w:val="0"/>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(一)甲方的权利</w:t>
      </w:r>
      <w:r>
        <w:rPr>
          <w:rFonts w:hint="eastAsia" w:ascii="仿宋" w:hAnsi="仿宋" w:eastAsia="仿宋" w:cs="仿宋"/>
          <w:sz w:val="24"/>
          <w:szCs w:val="24"/>
          <w:lang w:val="en-US" w:eastAsia="zh-CN"/>
        </w:rPr>
        <w:t>及义务</w:t>
      </w:r>
    </w:p>
    <w:p w14:paraId="40146914">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1.甲方负责配合本次项目服务工作。</w:t>
      </w:r>
    </w:p>
    <w:p w14:paraId="09C8D581">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2.甲方应按本合同的约定向乙方支付合同价款</w:t>
      </w:r>
    </w:p>
    <w:p w14:paraId="451F80AF">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3.甲方根据需要对乙方提供的服务方案进行审核，提供建议及意见，确定最终实施的服务方案，以便乙方遵照执行。</w:t>
      </w:r>
    </w:p>
    <w:p w14:paraId="4CD44E42">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4.甲方有权对乙方的工作进行监督和考核。</w:t>
      </w:r>
    </w:p>
    <w:p w14:paraId="0322AC1E">
      <w:pPr>
        <w:keepNext w:val="0"/>
        <w:keepLines w:val="0"/>
        <w:pageBreakBefore w:val="0"/>
        <w:wordWrap/>
        <w:topLinePunct w:val="0"/>
        <w:bidi w:val="0"/>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(二)</w:t>
      </w:r>
      <w:r>
        <w:rPr>
          <w:rFonts w:hint="eastAsia" w:ascii="仿宋" w:hAnsi="仿宋" w:eastAsia="仿宋" w:cs="仿宋"/>
          <w:sz w:val="24"/>
          <w:szCs w:val="24"/>
          <w:lang w:val="en-US" w:eastAsia="zh-CN"/>
        </w:rPr>
        <w:t>乙方的权利及义务</w:t>
      </w:r>
    </w:p>
    <w:p w14:paraId="4622A733">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1.乙方的工作人员必须严格遵守甲方的规章制度，以良好的形象和积极的工作态度，按甲方要求开展工作</w:t>
      </w:r>
    </w:p>
    <w:p w14:paraId="139A830D">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2.乙方应服从甲方统筹管理并按流程开展工作。</w:t>
      </w:r>
    </w:p>
    <w:p w14:paraId="7F3FADA2">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3.乙方保证安排的相关人员需按照指定时间到达指定地点进行服务，乙方在服务期间内不得迟到早退，如有特殊情况，必须事先通知并征得甲方同意。</w:t>
      </w:r>
    </w:p>
    <w:p w14:paraId="58ACB8EF">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b/>
          <w:bCs/>
          <w:sz w:val="24"/>
          <w:szCs w:val="24"/>
          <w:highlight w:val="yellow"/>
        </w:rPr>
      </w:pPr>
      <w:r>
        <w:rPr>
          <w:rFonts w:hint="eastAsia" w:ascii="仿宋" w:hAnsi="仿宋" w:eastAsia="仿宋" w:cs="仿宋"/>
          <w:sz w:val="24"/>
          <w:szCs w:val="24"/>
        </w:rPr>
        <w:t>4.乙方在服务期间发布的任何涉及有关甲方的相关信息，需经甲方确认无误后方可发布。</w:t>
      </w:r>
    </w:p>
    <w:p w14:paraId="75B8EE41">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、验收</w:t>
      </w:r>
    </w:p>
    <w:p w14:paraId="4E415E15">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(一)本项目验收费用，由乙方自行承担</w:t>
      </w:r>
      <w:r>
        <w:rPr>
          <w:rFonts w:hint="eastAsia" w:ascii="仿宋" w:hAnsi="仿宋" w:eastAsia="仿宋" w:cs="仿宋"/>
          <w:sz w:val="24"/>
          <w:szCs w:val="24"/>
          <w:lang w:eastAsia="zh-CN"/>
        </w:rPr>
        <w:t>。</w:t>
      </w:r>
    </w:p>
    <w:p w14:paraId="0DFF1D2E">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(二)服务期满后，由乙方向甲方递交验收通知书，经甲方确认后，组织乙方进行系统验收。验收合格后，填写项目验收单作为对本次服务的最终认可。</w:t>
      </w:r>
    </w:p>
    <w:p w14:paraId="132153FC">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(三)验收依据:</w:t>
      </w:r>
    </w:p>
    <w:p w14:paraId="3946EFDD">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1.本合同及附加文本</w:t>
      </w:r>
    </w:p>
    <w:p w14:paraId="1B47F9DA">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2.磋商文件、成交供应商的响应文件及澄清(承诺)函</w:t>
      </w:r>
    </w:p>
    <w:p w14:paraId="369F0625">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3.国家相应的标准、规范。</w:t>
      </w:r>
    </w:p>
    <w:p w14:paraId="080D6F54">
      <w:pPr>
        <w:keepNext w:val="0"/>
        <w:keepLines w:val="0"/>
        <w:pageBreakBefore w:val="0"/>
        <w:wordWrap/>
        <w:topLinePunct w:val="0"/>
        <w:bidi w:val="0"/>
        <w:snapToGrid/>
        <w:spacing w:line="360" w:lineRule="auto"/>
        <w:ind w:left="0" w:leftChars="0" w:firstLine="482" w:firstLineChars="200"/>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保密规定</w:t>
      </w:r>
    </w:p>
    <w:p w14:paraId="126E8EC2">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r>
        <w:rPr>
          <w:rFonts w:hint="eastAsia" w:ascii="仿宋" w:hAnsi="仿宋" w:eastAsia="仿宋" w:cs="仿宋"/>
          <w:sz w:val="24"/>
          <w:szCs w:val="24"/>
          <w:lang w:eastAsia="zh-CN"/>
        </w:rPr>
        <w:t>。</w:t>
      </w:r>
    </w:p>
    <w:p w14:paraId="6B4B97A2">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、违约责任</w:t>
      </w:r>
    </w:p>
    <w:p w14:paraId="16838DB4">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5E84ACD3">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按合同要求提供服务或服务质量不能满足不能满足本次询价要求，乙方必须无条件提高技术，完善服务质量，否则，甲方会同监督机构、采购代理机构有权终止合同并对乙方违约行为进行追究同时按政府采购供应商管理办法进行相应的处罚。</w:t>
      </w:r>
    </w:p>
    <w:p w14:paraId="7F3FB66D">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(三)任何一方因不可抗力原因不能履行协议时，应尽快通知对方，双方均设法补偿。如仍无法履约协议，可协商延缓或撤销协议双方责任免除。</w:t>
      </w:r>
    </w:p>
    <w:p w14:paraId="0A7884E2">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九、合同争议解决的方式</w:t>
      </w:r>
    </w:p>
    <w:p w14:paraId="0186C1BF">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本合同在履行过程中发生的争议，由甲、乙双方当事人协商解决协商不成的按下列第 2 种方式解决:</w:t>
      </w:r>
    </w:p>
    <w:p w14:paraId="10E6F1AD">
      <w:pPr>
        <w:keepNext w:val="0"/>
        <w:keepLines w:val="0"/>
        <w:pageBreakBefore w:val="0"/>
        <w:numPr>
          <w:ilvl w:val="0"/>
          <w:numId w:val="2"/>
        </w:numPr>
        <w:wordWrap/>
        <w:topLinePunct w:val="0"/>
        <w:bidi w:val="0"/>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提交甲方所在地仲裁委员会仲裁。</w:t>
      </w:r>
    </w:p>
    <w:p w14:paraId="15AE7D70">
      <w:pPr>
        <w:keepNext w:val="0"/>
        <w:keepLines w:val="0"/>
        <w:pageBreakBefore w:val="0"/>
        <w:numPr>
          <w:ilvl w:val="0"/>
          <w:numId w:val="2"/>
        </w:numPr>
        <w:wordWrap/>
        <w:topLinePunct w:val="0"/>
        <w:bidi w:val="0"/>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b w:val="0"/>
          <w:bCs w:val="0"/>
          <w:sz w:val="24"/>
          <w:szCs w:val="24"/>
          <w:lang w:val="en-US" w:eastAsia="zh-CN"/>
        </w:rPr>
        <w:t>依法向甲方所在地人民法院起诉</w:t>
      </w:r>
    </w:p>
    <w:p w14:paraId="3951B433">
      <w:pPr>
        <w:keepNext w:val="0"/>
        <w:keepLines w:val="0"/>
        <w:pageBreakBefore w:val="0"/>
        <w:wordWrap/>
        <w:topLinePunct w:val="0"/>
        <w:bidi w:val="0"/>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十、合同生效</w:t>
      </w:r>
    </w:p>
    <w:p w14:paraId="44FEF220">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(一)本合同须经甲、乙双方的法定代表人(授权代理人)在合同书上签字并加盖本单位公章后正式生效。</w:t>
      </w:r>
    </w:p>
    <w:p w14:paraId="2A06E6A0">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(二)合同生效后，甲、乙双方须严格执行本合同条款的规定，全面履行合同，违者按《中华人民共和国合同法》的有关规定承担相应责任，</w:t>
      </w:r>
    </w:p>
    <w:p w14:paraId="51DE9F54">
      <w:pPr>
        <w:keepNext w:val="0"/>
        <w:keepLines w:val="0"/>
        <w:pageBreakBefore w:val="0"/>
        <w:wordWrap/>
        <w:topLinePunct w:val="0"/>
        <w:bidi w:val="0"/>
        <w:snapToGrid/>
        <w:spacing w:line="36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(三)本合同一式</w:t>
      </w:r>
      <w:r>
        <w:rPr>
          <w:rFonts w:hint="eastAsia" w:ascii="仿宋" w:hAnsi="仿宋" w:eastAsia="仿宋" w:cs="仿宋"/>
          <w:sz w:val="24"/>
          <w:szCs w:val="24"/>
          <w:u w:val="single"/>
        </w:rPr>
        <w:t>陆</w:t>
      </w:r>
      <w:r>
        <w:rPr>
          <w:rFonts w:hint="eastAsia" w:ascii="仿宋" w:hAnsi="仿宋" w:eastAsia="仿宋" w:cs="仿宋"/>
          <w:sz w:val="24"/>
          <w:szCs w:val="24"/>
        </w:rPr>
        <w:t>份，甲方执肆份，乙方执</w:t>
      </w:r>
      <w:r>
        <w:rPr>
          <w:rFonts w:hint="eastAsia" w:ascii="仿宋" w:hAnsi="仿宋" w:eastAsia="仿宋" w:cs="仿宋"/>
          <w:sz w:val="24"/>
          <w:szCs w:val="24"/>
          <w:u w:val="single"/>
          <w:lang w:val="en-US" w:eastAsia="zh-CN"/>
        </w:rPr>
        <w:t>贰</w:t>
      </w:r>
      <w:r>
        <w:rPr>
          <w:rFonts w:hint="eastAsia" w:ascii="仿宋" w:hAnsi="仿宋" w:eastAsia="仿宋" w:cs="仿宋"/>
          <w:sz w:val="24"/>
          <w:szCs w:val="24"/>
        </w:rPr>
        <w:t>份。</w:t>
      </w:r>
    </w:p>
    <w:p w14:paraId="719C5484">
      <w:pPr>
        <w:keepNext w:val="0"/>
        <w:keepLines w:val="0"/>
        <w:pageBreakBefore w:val="0"/>
        <w:wordWrap/>
        <w:topLinePunct w:val="0"/>
        <w:bidi w:val="0"/>
        <w:snapToGrid/>
        <w:spacing w:line="360" w:lineRule="auto"/>
        <w:ind w:left="0" w:leftChars="0" w:firstLine="480" w:firstLineChars="200"/>
        <w:textAlignment w:val="auto"/>
        <w:rPr>
          <w:rFonts w:ascii="仿宋" w:hAnsi="仿宋" w:eastAsia="仿宋" w:cs="仿宋"/>
          <w:szCs w:val="21"/>
        </w:rPr>
      </w:pPr>
      <w:r>
        <w:rPr>
          <w:rFonts w:hint="eastAsia" w:ascii="仿宋" w:hAnsi="仿宋" w:eastAsia="仿宋" w:cs="仿宋"/>
          <w:sz w:val="24"/>
          <w:szCs w:val="24"/>
        </w:rPr>
        <w:t>(四)本合同如有未尽事宜，甲、乙双方协商解决。</w:t>
      </w:r>
    </w:p>
    <w:p w14:paraId="29A13751">
      <w:pPr>
        <w:rPr>
          <w:rFonts w:hint="eastAsia" w:ascii="仿宋" w:hAnsi="仿宋" w:eastAsia="仿宋" w:cs="仿宋"/>
          <w:sz w:val="24"/>
          <w:szCs w:val="24"/>
        </w:rPr>
      </w:pPr>
      <w:r>
        <w:rPr>
          <w:rFonts w:hint="eastAsia" w:ascii="仿宋" w:hAnsi="仿宋" w:eastAsia="仿宋" w:cs="仿宋"/>
          <w:sz w:val="24"/>
          <w:szCs w:val="24"/>
        </w:rPr>
        <w:br w:type="page"/>
      </w:r>
    </w:p>
    <w:p w14:paraId="07A6080E">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（此后无正文）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4"/>
        <w:gridCol w:w="4615"/>
      </w:tblGrid>
      <w:tr w14:paraId="2C6F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jc w:val="center"/>
        </w:trPr>
        <w:tc>
          <w:tcPr>
            <w:tcW w:w="4664" w:type="dxa"/>
            <w:noWrap w:val="0"/>
            <w:vAlign w:val="center"/>
          </w:tcPr>
          <w:p w14:paraId="6CD351ED">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甲方名称：</w:t>
            </w:r>
          </w:p>
          <w:p w14:paraId="5D2FE6D8">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 xml:space="preserve"> </w:t>
            </w:r>
          </w:p>
        </w:tc>
        <w:tc>
          <w:tcPr>
            <w:tcW w:w="4615" w:type="dxa"/>
            <w:noWrap w:val="0"/>
            <w:vAlign w:val="center"/>
          </w:tcPr>
          <w:p w14:paraId="306E194E">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rPr>
              <w:t>乙方名称：</w:t>
            </w:r>
          </w:p>
          <w:p w14:paraId="2FB4783C">
            <w:pPr>
              <w:spacing w:line="500" w:lineRule="exact"/>
              <w:ind w:left="0" w:leftChars="0" w:firstLine="0" w:firstLineChars="0"/>
              <w:jc w:val="left"/>
              <w:rPr>
                <w:rFonts w:ascii="仿宋" w:hAnsi="仿宋" w:eastAsia="仿宋" w:cs="仿宋"/>
                <w:sz w:val="24"/>
                <w:szCs w:val="24"/>
              </w:rPr>
            </w:pPr>
          </w:p>
        </w:tc>
      </w:tr>
      <w:tr w14:paraId="3E05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4664" w:type="dxa"/>
            <w:noWrap w:val="0"/>
            <w:vAlign w:val="center"/>
          </w:tcPr>
          <w:p w14:paraId="5A1627D2">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法定代表人或委托代理人：</w:t>
            </w:r>
          </w:p>
          <w:p w14:paraId="5E239F48">
            <w:pPr>
              <w:spacing w:line="500" w:lineRule="exact"/>
              <w:ind w:left="0" w:leftChars="0" w:firstLine="0" w:firstLineChars="0"/>
              <w:rPr>
                <w:rFonts w:ascii="仿宋" w:hAnsi="仿宋" w:eastAsia="仿宋" w:cs="仿宋"/>
                <w:sz w:val="24"/>
                <w:szCs w:val="24"/>
              </w:rPr>
            </w:pPr>
          </w:p>
          <w:p w14:paraId="56851B3E">
            <w:pPr>
              <w:spacing w:line="500" w:lineRule="exact"/>
              <w:ind w:left="0" w:leftChars="0" w:firstLine="0" w:firstLineChars="0"/>
              <w:rPr>
                <w:rFonts w:ascii="仿宋" w:hAnsi="仿宋" w:eastAsia="仿宋" w:cs="仿宋"/>
                <w:sz w:val="24"/>
                <w:szCs w:val="24"/>
              </w:rPr>
            </w:pPr>
          </w:p>
        </w:tc>
        <w:tc>
          <w:tcPr>
            <w:tcW w:w="4615" w:type="dxa"/>
            <w:noWrap w:val="0"/>
            <w:vAlign w:val="center"/>
          </w:tcPr>
          <w:p w14:paraId="462D8E91">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rPr>
              <w:t>法定代表人或委托代理人：</w:t>
            </w:r>
          </w:p>
          <w:p w14:paraId="3394AC30">
            <w:pPr>
              <w:spacing w:line="500" w:lineRule="exact"/>
              <w:ind w:left="0" w:leftChars="0" w:firstLine="0" w:firstLineChars="0"/>
              <w:jc w:val="left"/>
              <w:rPr>
                <w:rFonts w:ascii="仿宋" w:hAnsi="仿宋" w:eastAsia="仿宋" w:cs="仿宋"/>
                <w:sz w:val="24"/>
                <w:szCs w:val="24"/>
              </w:rPr>
            </w:pPr>
          </w:p>
          <w:p w14:paraId="548B7CCB">
            <w:pPr>
              <w:spacing w:line="500" w:lineRule="exact"/>
              <w:ind w:left="0" w:leftChars="0" w:firstLine="0" w:firstLineChars="0"/>
              <w:jc w:val="left"/>
              <w:rPr>
                <w:rFonts w:ascii="仿宋" w:hAnsi="仿宋" w:eastAsia="仿宋" w:cs="仿宋"/>
                <w:sz w:val="24"/>
                <w:szCs w:val="24"/>
              </w:rPr>
            </w:pPr>
          </w:p>
        </w:tc>
      </w:tr>
      <w:tr w14:paraId="77B3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664" w:type="dxa"/>
            <w:noWrap w:val="0"/>
            <w:vAlign w:val="center"/>
          </w:tcPr>
          <w:p w14:paraId="3DECFDD9">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rPr>
              <w:t>住    所：</w:t>
            </w:r>
          </w:p>
        </w:tc>
        <w:tc>
          <w:tcPr>
            <w:tcW w:w="4615" w:type="dxa"/>
            <w:noWrap w:val="0"/>
            <w:vAlign w:val="center"/>
          </w:tcPr>
          <w:p w14:paraId="6EAD3FA0">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shd w:val="clear" w:color="auto" w:fill="FFFFFF"/>
              </w:rPr>
              <w:t>住    所：</w:t>
            </w:r>
          </w:p>
        </w:tc>
      </w:tr>
      <w:tr w14:paraId="15FF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664" w:type="dxa"/>
            <w:noWrap w:val="0"/>
            <w:vAlign w:val="center"/>
          </w:tcPr>
          <w:p w14:paraId="5AD0C245">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邮政编码：</w:t>
            </w:r>
          </w:p>
        </w:tc>
        <w:tc>
          <w:tcPr>
            <w:tcW w:w="4615" w:type="dxa"/>
            <w:noWrap w:val="0"/>
            <w:vAlign w:val="center"/>
          </w:tcPr>
          <w:p w14:paraId="41DD4C24">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rPr>
              <w:t>邮政编码：</w:t>
            </w:r>
          </w:p>
        </w:tc>
      </w:tr>
      <w:tr w14:paraId="5EDD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664" w:type="dxa"/>
            <w:noWrap w:val="0"/>
            <w:vAlign w:val="center"/>
          </w:tcPr>
          <w:p w14:paraId="5C930409">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电    话：</w:t>
            </w:r>
          </w:p>
        </w:tc>
        <w:tc>
          <w:tcPr>
            <w:tcW w:w="4615" w:type="dxa"/>
            <w:noWrap w:val="0"/>
            <w:vAlign w:val="center"/>
          </w:tcPr>
          <w:p w14:paraId="217924F0">
            <w:pPr>
              <w:spacing w:line="500" w:lineRule="exact"/>
              <w:ind w:left="0" w:leftChars="0" w:firstLine="0" w:firstLineChars="0"/>
              <w:jc w:val="left"/>
              <w:rPr>
                <w:rFonts w:ascii="仿宋" w:hAnsi="仿宋" w:eastAsia="仿宋" w:cs="仿宋"/>
                <w:sz w:val="24"/>
                <w:szCs w:val="24"/>
              </w:rPr>
            </w:pPr>
            <w:r>
              <w:rPr>
                <w:rFonts w:hint="eastAsia" w:ascii="仿宋" w:hAnsi="仿宋" w:eastAsia="仿宋" w:cs="仿宋"/>
                <w:sz w:val="24"/>
                <w:szCs w:val="24"/>
              </w:rPr>
              <w:t>电    话：</w:t>
            </w:r>
          </w:p>
        </w:tc>
      </w:tr>
      <w:tr w14:paraId="5566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664" w:type="dxa"/>
            <w:noWrap w:val="0"/>
            <w:vAlign w:val="center"/>
          </w:tcPr>
          <w:p w14:paraId="467BC092">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传    真：</w:t>
            </w:r>
          </w:p>
        </w:tc>
        <w:tc>
          <w:tcPr>
            <w:tcW w:w="4615" w:type="dxa"/>
            <w:noWrap w:val="0"/>
            <w:vAlign w:val="center"/>
          </w:tcPr>
          <w:p w14:paraId="40790853">
            <w:pPr>
              <w:spacing w:line="500" w:lineRule="exact"/>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传    真：/</w:t>
            </w:r>
          </w:p>
        </w:tc>
      </w:tr>
      <w:tr w14:paraId="148B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664" w:type="dxa"/>
            <w:noWrap w:val="0"/>
            <w:vAlign w:val="center"/>
          </w:tcPr>
          <w:p w14:paraId="6D9D11E8">
            <w:pPr>
              <w:spacing w:line="500" w:lineRule="exact"/>
              <w:ind w:left="0" w:leftChars="0" w:firstLine="0" w:firstLineChars="0"/>
              <w:rPr>
                <w:rFonts w:ascii="仿宋" w:hAnsi="仿宋" w:eastAsia="仿宋" w:cs="仿宋"/>
                <w:sz w:val="24"/>
                <w:szCs w:val="24"/>
              </w:rPr>
            </w:pPr>
            <w:r>
              <w:rPr>
                <w:rFonts w:hint="eastAsia" w:ascii="仿宋" w:hAnsi="仿宋" w:eastAsia="仿宋" w:cs="仿宋"/>
                <w:sz w:val="24"/>
                <w:szCs w:val="24"/>
              </w:rPr>
              <w:t>开户银行：</w:t>
            </w:r>
          </w:p>
        </w:tc>
        <w:tc>
          <w:tcPr>
            <w:tcW w:w="4615" w:type="dxa"/>
            <w:noWrap w:val="0"/>
            <w:vAlign w:val="center"/>
          </w:tcPr>
          <w:p w14:paraId="37E1E28C">
            <w:pPr>
              <w:spacing w:line="500" w:lineRule="exact"/>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开户银行：</w:t>
            </w:r>
          </w:p>
        </w:tc>
      </w:tr>
      <w:tr w14:paraId="25CA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664" w:type="dxa"/>
            <w:noWrap w:val="0"/>
            <w:vAlign w:val="center"/>
          </w:tcPr>
          <w:p w14:paraId="3D0D02F8">
            <w:pPr>
              <w:spacing w:line="500" w:lineRule="exact"/>
              <w:ind w:left="0" w:leftChars="0" w:firstLine="0" w:firstLineChars="0"/>
              <w:rPr>
                <w:rFonts w:ascii="仿宋" w:hAnsi="仿宋" w:eastAsia="仿宋" w:cs="仿宋"/>
                <w:szCs w:val="21"/>
              </w:rPr>
            </w:pPr>
            <w:r>
              <w:rPr>
                <w:rFonts w:hint="eastAsia" w:ascii="仿宋" w:hAnsi="仿宋" w:eastAsia="仿宋" w:cs="仿宋"/>
                <w:szCs w:val="21"/>
              </w:rPr>
              <w:t>银行账户：</w:t>
            </w:r>
          </w:p>
        </w:tc>
        <w:tc>
          <w:tcPr>
            <w:tcW w:w="4615" w:type="dxa"/>
            <w:noWrap w:val="0"/>
            <w:vAlign w:val="center"/>
          </w:tcPr>
          <w:p w14:paraId="5366B0A1">
            <w:pPr>
              <w:spacing w:line="500" w:lineRule="exact"/>
              <w:ind w:left="0" w:leftChars="0" w:firstLine="0" w:firstLineChars="0"/>
              <w:jc w:val="left"/>
              <w:rPr>
                <w:rFonts w:hint="eastAsia" w:ascii="仿宋" w:hAnsi="仿宋" w:eastAsia="仿宋" w:cs="仿宋"/>
                <w:szCs w:val="21"/>
              </w:rPr>
            </w:pPr>
            <w:r>
              <w:rPr>
                <w:rFonts w:hint="eastAsia" w:ascii="仿宋" w:hAnsi="仿宋" w:eastAsia="仿宋" w:cs="仿宋"/>
                <w:szCs w:val="21"/>
              </w:rPr>
              <w:t>银行账户：</w:t>
            </w:r>
          </w:p>
        </w:tc>
      </w:tr>
    </w:tbl>
    <w:p w14:paraId="49000BCD">
      <w:pPr>
        <w:ind w:left="0" w:leftChars="0" w:firstLine="0" w:firstLineChars="0"/>
      </w:pPr>
    </w:p>
    <w:p w14:paraId="6B2F76B6">
      <w:pPr>
        <w:pStyle w:val="11"/>
        <w:spacing w:line="360" w:lineRule="auto"/>
        <w:ind w:left="0" w:leftChars="0" w:firstLine="0" w:firstLineChars="0"/>
        <w:rPr>
          <w:rFonts w:hint="eastAsia" w:ascii="仿宋" w:hAnsi="仿宋" w:eastAsia="仿宋" w:cs="仿宋"/>
          <w:lang w:val="en-US" w:eastAsia="zh-Hans"/>
        </w:rPr>
      </w:pPr>
    </w:p>
    <w:p w14:paraId="46467913">
      <w:pPr>
        <w:pStyle w:val="11"/>
        <w:spacing w:line="360" w:lineRule="auto"/>
        <w:ind w:left="0" w:leftChars="0" w:firstLine="0" w:firstLineChars="0"/>
        <w:rPr>
          <w:rFonts w:hint="eastAsia" w:ascii="仿宋" w:hAnsi="仿宋" w:eastAsia="仿宋" w:cs="仿宋"/>
          <w:lang w:val="en-US" w:eastAsia="zh-Hans"/>
        </w:rPr>
      </w:pPr>
    </w:p>
    <w:p w14:paraId="1EA8FFBD">
      <w:pPr>
        <w:ind w:left="0" w:leftChars="0" w:firstLine="0" w:firstLineChars="0"/>
        <w:rPr>
          <w:rFonts w:hint="eastAsia" w:ascii="仿宋" w:hAnsi="仿宋" w:eastAsia="仿宋" w:cs="仿宋"/>
          <w:sz w:val="24"/>
          <w:szCs w:val="24"/>
        </w:rPr>
      </w:pPr>
    </w:p>
    <w:sectPr>
      <w:footerReference r:id="rId5" w:type="default"/>
      <w:pgSz w:w="11910" w:h="16840"/>
      <w:pgMar w:top="1440" w:right="1800" w:bottom="1440" w:left="1800" w:header="0" w:footer="84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0B6FB">
    <w:pPr>
      <w:pStyle w:val="4"/>
      <w:spacing w:line="14" w:lineRule="auto"/>
      <w:rPr>
        <w:sz w:val="5"/>
      </w:rPr>
    </w:pPr>
    <w:r>
      <w:pict>
        <v:shape id="_x0000_s4097" o:spid="_x0000_s4097" o:spt="202" type="#_x0000_t202" style="position:absolute;left:0pt;margin-left:290.4pt;margin-top:781.5pt;height:14.2pt;width:15.0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32FFEAE5">
                <w:pPr>
                  <w:spacing w:before="80"/>
                  <w:ind w:left="73" w:right="0" w:firstLine="0"/>
                  <w:jc w:val="left"/>
                  <w:rPr>
                    <w:rFonts w:ascii="Times New Roman"/>
                    <w:sz w:val="16"/>
                  </w:rPr>
                </w:pPr>
                <w:r>
                  <w:fldChar w:fldCharType="begin"/>
                </w:r>
                <w:r>
                  <w:rPr>
                    <w:rFonts w:ascii="Times New Roman"/>
                    <w:color w:val="161616"/>
                    <w:w w:val="85"/>
                    <w:sz w:val="16"/>
                  </w:rPr>
                  <w:instrText xml:space="preserve"> PAGE </w:instrText>
                </w:r>
                <w:r>
                  <w:fldChar w:fldCharType="separate"/>
                </w:r>
                <w:r>
                  <w:t>40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79BD02"/>
    <w:multiLevelType w:val="singleLevel"/>
    <w:tmpl w:val="E379BD02"/>
    <w:lvl w:ilvl="0" w:tentative="0">
      <w:start w:val="1"/>
      <w:numFmt w:val="chineseCounting"/>
      <w:lvlText w:val="(%1)"/>
      <w:lvlJc w:val="left"/>
      <w:pPr>
        <w:tabs>
          <w:tab w:val="left" w:pos="312"/>
        </w:tabs>
      </w:pPr>
      <w:rPr>
        <w:rFonts w:hint="eastAsia"/>
      </w:rPr>
    </w:lvl>
  </w:abstractNum>
  <w:abstractNum w:abstractNumId="1">
    <w:nsid w:val="3D0C45A7"/>
    <w:multiLevelType w:val="multilevel"/>
    <w:tmpl w:val="3D0C45A7"/>
    <w:lvl w:ilvl="0" w:tentative="0">
      <w:start w:val="1"/>
      <w:numFmt w:val="decimal"/>
      <w:lvlText w:val="%1"/>
      <w:lvlJc w:val="left"/>
      <w:pPr>
        <w:ind w:left="432" w:hanging="432"/>
      </w:pPr>
      <w:rPr>
        <w:rFonts w:hint="default"/>
      </w:rPr>
    </w:lvl>
    <w:lvl w:ilvl="1" w:tentative="0">
      <w:start w:val="1"/>
      <w:numFmt w:val="decimal"/>
      <w:pStyle w:val="3"/>
      <w:lvlText w:val="%1.%2"/>
      <w:lvlJc w:val="left"/>
      <w:pPr>
        <w:ind w:left="576" w:hanging="576"/>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2"/>
  </w:compat>
  <w:rsids>
    <w:rsidRoot w:val="00000000"/>
    <w:rsid w:val="02B353FD"/>
    <w:rsid w:val="035D1BAE"/>
    <w:rsid w:val="046B19E4"/>
    <w:rsid w:val="05212D3B"/>
    <w:rsid w:val="09E83442"/>
    <w:rsid w:val="1088747A"/>
    <w:rsid w:val="11E47250"/>
    <w:rsid w:val="13175CC4"/>
    <w:rsid w:val="1CFD4C6D"/>
    <w:rsid w:val="23372ABA"/>
    <w:rsid w:val="2650632F"/>
    <w:rsid w:val="29761D01"/>
    <w:rsid w:val="2B2E7818"/>
    <w:rsid w:val="39450ECB"/>
    <w:rsid w:val="3AA31CAF"/>
    <w:rsid w:val="40364E7B"/>
    <w:rsid w:val="433F136A"/>
    <w:rsid w:val="47213FAC"/>
    <w:rsid w:val="47D820FD"/>
    <w:rsid w:val="49CA6BF6"/>
    <w:rsid w:val="4AA13041"/>
    <w:rsid w:val="4EE862BA"/>
    <w:rsid w:val="55C8362A"/>
    <w:rsid w:val="56AA353D"/>
    <w:rsid w:val="58B46018"/>
    <w:rsid w:val="5B1E7EA8"/>
    <w:rsid w:val="65AE0637"/>
    <w:rsid w:val="6D0F1DB8"/>
    <w:rsid w:val="6FC916C8"/>
    <w:rsid w:val="741A3CA7"/>
    <w:rsid w:val="7442624D"/>
    <w:rsid w:val="789E7920"/>
    <w:rsid w:val="7AFC58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qFormat/>
    <w:uiPriority w:val="1"/>
    <w:pPr>
      <w:ind w:left="763"/>
      <w:outlineLvl w:val="1"/>
    </w:pPr>
    <w:rPr>
      <w:rFonts w:ascii="宋体" w:hAnsi="宋体" w:eastAsia="宋体" w:cs="宋体"/>
      <w:sz w:val="30"/>
      <w:szCs w:val="30"/>
    </w:rPr>
  </w:style>
  <w:style w:type="paragraph" w:styleId="3">
    <w:name w:val="heading 2"/>
    <w:basedOn w:val="1"/>
    <w:next w:val="1"/>
    <w:unhideWhenUsed/>
    <w:qFormat/>
    <w:uiPriority w:val="0"/>
    <w:pPr>
      <w:keepNext/>
      <w:keepLines/>
      <w:numPr>
        <w:ilvl w:val="1"/>
        <w:numId w:val="1"/>
      </w:numPr>
      <w:outlineLvl w:val="1"/>
    </w:pPr>
    <w:rPr>
      <w:rFonts w:ascii="Arial" w:hAnsi="Arial" w:eastAsia="宋体"/>
      <w:b/>
      <w:sz w:val="32"/>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5"/>
      <w:szCs w:val="25"/>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pPr>
      <w:spacing w:before="34"/>
      <w:ind w:left="220"/>
    </w:pPr>
    <w:rPr>
      <w:rFonts w:ascii="宋体" w:hAnsi="宋体" w:eastAsia="宋体" w:cs="宋体"/>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2827</Words>
  <Characters>2935</Characters>
  <TotalTime>2</TotalTime>
  <ScaleCrop>false</ScaleCrop>
  <LinksUpToDate>false</LinksUpToDate>
  <CharactersWithSpaces>3118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2025-07-29T02:43:00Z</dcterms:created>
  <dc:creator>a</dc:creator>
  <cp:lastModifiedBy>z</cp:lastModifiedBy>
  <dcterms:modified xsi:type="dcterms:W3CDTF">2025-09-08T07:50:21Z</dcterms:modified>
  <dc:title>&lt;CEF7B1B1C6D5B2E9D5D0B1EACEC4BCFE2E706466&gt;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2025-07-29T00:00:00Z</vt:filetime>
  </property>
  <property fmtid="{D5CDD505-2E9C-101B-9397-08002B2CF9AE}" pid="3" name="Creator">
    <vt:lpwstr>PScript5.dll Version 5.2.2</vt:lpwstr>
  </property>
  <property fmtid="{D5CDD505-2E9C-101B-9397-08002B2CF9AE}" pid="4" name="LastSaved">
    <vt:filetime>2025-07-29T00:00:00Z</vt:filetime>
  </property>
  <property fmtid="{D5CDD505-2E9C-101B-9397-08002B2CF9AE}" pid="5" name="KSOTemplateDocerSaveRecord">
    <vt:lpwstr>eyJoZGlkIjoiZGMyOTIyYTFhNzZmOGQxODE3ODZkMTlmNzU4N2FmZDQiLCJ1c2VySWQiOiIxMTcyNDcyOSJ9</vt:lpwstr>
  </property>
  <property fmtid="{D5CDD505-2E9C-101B-9397-08002B2CF9AE}" pid="6" name="KSOProductBuildVer">
    <vt:lpwstr>2052-12.1.0.22529</vt:lpwstr>
  </property>
  <property fmtid="{D5CDD505-2E9C-101B-9397-08002B2CF9AE}" pid="7" name="ICV">
    <vt:lpwstr>A541C31A777344B2A764F7621AAB9834_12</vt:lpwstr>
  </property>
</Properties>
</file>