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版本号：QCZB-2025-02420250908001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滦镇街道红庙村灌溉排水渠修建项目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QCZB-2025-024</w:t>
      </w:r>
      <w:r>
        <w:br/>
      </w:r>
      <w:r>
        <w:br/>
      </w:r>
      <w:r>
        <w:br/>
      </w:r>
    </w:p>
    <w:p>
      <w:pPr>
        <w:pStyle w:val="null3"/>
        <w:jc w:val="center"/>
        <w:outlineLvl w:val="2"/>
      </w:pPr>
      <w:r>
        <w:rPr>
          <w:rFonts w:ascii="仿宋_GB2312" w:hAnsi="仿宋_GB2312" w:cs="仿宋_GB2312" w:eastAsia="仿宋_GB2312"/>
          <w:sz w:val="28"/>
          <w:b/>
        </w:rPr>
        <w:t>西安市长安区滦镇街道办事处</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西安市长安区滦镇街道办事处</w:t>
      </w:r>
      <w:r>
        <w:rPr>
          <w:rFonts w:ascii="仿宋_GB2312" w:hAnsi="仿宋_GB2312" w:cs="仿宋_GB2312" w:eastAsia="仿宋_GB2312"/>
        </w:rPr>
        <w:t>委托，拟对</w:t>
      </w:r>
      <w:r>
        <w:rPr>
          <w:rFonts w:ascii="仿宋_GB2312" w:hAnsi="仿宋_GB2312" w:cs="仿宋_GB2312" w:eastAsia="仿宋_GB2312"/>
        </w:rPr>
        <w:t>滦镇街道红庙村灌溉排水渠修建项目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滦镇街道红庙村灌溉排水渠修建项目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本项目灌溉排水渠起点位于红庙村南西太路西侧，终点接现状渠道，总长度为1425m，尺寸规格为1000x1000mm、1200x1200mm，其中1000x1000mm为上游段，长度 789m，1200x1200mm为下游段，长度636m，排水渠均采用水泥混凝土矩形渠，同时设置启闭一体式闸门2套，敷设蓄水池连接管(d300mm双壁波纹管)50m（具体建设内容以工程量清单为准）。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采购包1（滦镇街道红庙村灌溉排水渠修建项目）：属于专门面向中小企业采购。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中国及中国政府采购网查询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pPr>
        <w:pStyle w:val="null3"/>
      </w:pPr>
      <w:r>
        <w:rPr>
          <w:rFonts w:ascii="仿宋_GB2312" w:hAnsi="仿宋_GB2312" w:cs="仿宋_GB2312" w:eastAsia="仿宋_GB2312"/>
        </w:rPr>
        <w:t>11、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12、关联关系承诺：单位负责人为同一人或者存在直接控股、管理关系的不同供应商，不得参加同一合同项下的政府采购活动。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西安市长安区滦镇街道办事处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滦镇东街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高玉聪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029-85864272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采购包1：1,557,604.53元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按95%（即95折）计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西安市长安区滦镇街道办事处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西安市长安区滦镇街道办事处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西安市长安区滦镇街道办事处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1,557,604.53</w:t>
      </w:r>
    </w:p>
    <w:p>
      <w:pPr>
        <w:pStyle w:val="null3"/>
      </w:pPr>
      <w:r>
        <w:rPr>
          <w:rFonts w:ascii="仿宋_GB2312" w:hAnsi="仿宋_GB2312" w:cs="仿宋_GB2312" w:eastAsia="仿宋_GB2312"/>
        </w:rPr>
        <w:t>采购包最高限价（元）: 1,557,604.53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滦镇街道红庙村灌溉排水渠修建项目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1,557,604.53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标的名称：滦镇街道红庙村灌溉排水渠修建项目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滦镇街道红庙村灌溉排水渠修建项目</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西安市长安区</w:t>
            </w:r>
            <w:r>
              <w:rPr>
                <w:rFonts w:ascii="仿宋_GB2312" w:hAnsi="仿宋_GB2312" w:cs="仿宋_GB2312" w:eastAsia="仿宋_GB2312"/>
                <w:sz w:val="24"/>
              </w:rPr>
              <w:t>滦镇</w:t>
            </w:r>
            <w:r>
              <w:rPr>
                <w:rFonts w:ascii="仿宋_GB2312" w:hAnsi="仿宋_GB2312" w:cs="仿宋_GB2312" w:eastAsia="仿宋_GB2312"/>
                <w:sz w:val="24"/>
              </w:rPr>
              <w:t>街道</w:t>
            </w:r>
            <w:r>
              <w:rPr>
                <w:rFonts w:ascii="仿宋_GB2312" w:hAnsi="仿宋_GB2312" w:cs="仿宋_GB2312" w:eastAsia="仿宋_GB2312"/>
                <w:sz w:val="24"/>
              </w:rPr>
              <w:t>红庙村</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预算金额</w:t>
            </w:r>
            <w:r>
              <w:rPr>
                <w:rFonts w:ascii="仿宋_GB2312" w:hAnsi="仿宋_GB2312" w:cs="仿宋_GB2312" w:eastAsia="仿宋_GB2312"/>
                <w:sz w:val="24"/>
                <w:b/>
              </w:rPr>
              <w:t>：</w:t>
            </w:r>
            <w:r>
              <w:rPr>
                <w:rFonts w:ascii="仿宋_GB2312" w:hAnsi="仿宋_GB2312" w:cs="仿宋_GB2312" w:eastAsia="仿宋_GB2312"/>
                <w:sz w:val="24"/>
              </w:rPr>
              <w:t>1557604.53</w:t>
            </w:r>
            <w:r>
              <w:rPr>
                <w:rFonts w:ascii="仿宋_GB2312" w:hAnsi="仿宋_GB2312" w:cs="仿宋_GB2312" w:eastAsia="仿宋_GB2312"/>
                <w:sz w:val="24"/>
              </w:rPr>
              <w:t>元，</w:t>
            </w:r>
            <w:r>
              <w:rPr>
                <w:rFonts w:ascii="仿宋_GB2312" w:hAnsi="仿宋_GB2312" w:cs="仿宋_GB2312" w:eastAsia="仿宋_GB2312"/>
                <w:sz w:val="24"/>
                <w:b/>
              </w:rPr>
              <w:t>最高限价：</w:t>
            </w:r>
            <w:r>
              <w:rPr>
                <w:rFonts w:ascii="仿宋_GB2312" w:hAnsi="仿宋_GB2312" w:cs="仿宋_GB2312" w:eastAsia="仿宋_GB2312"/>
                <w:sz w:val="24"/>
                <w:b/>
              </w:rPr>
              <w:t>1557604.53</w:t>
            </w:r>
            <w:r>
              <w:rPr>
                <w:rFonts w:ascii="仿宋_GB2312" w:hAnsi="仿宋_GB2312" w:cs="仿宋_GB2312" w:eastAsia="仿宋_GB2312"/>
                <w:sz w:val="24"/>
              </w:rPr>
              <w:t>元</w:t>
            </w:r>
            <w:r>
              <w:rPr>
                <w:rFonts w:ascii="仿宋_GB2312" w:hAnsi="仿宋_GB2312" w:cs="仿宋_GB2312" w:eastAsia="仿宋_GB2312"/>
                <w:sz w:val="24"/>
              </w:rPr>
              <w:t>（供应商报价超过以上报价的，按无效文件处理）</w:t>
            </w:r>
          </w:p>
          <w:p>
            <w:pPr>
              <w:pStyle w:val="null3"/>
              <w:ind w:right="-195" w:firstLine="482"/>
              <w:jc w:val="left"/>
            </w:pPr>
            <w:r>
              <w:rPr>
                <w:rFonts w:ascii="仿宋_GB2312" w:hAnsi="仿宋_GB2312" w:cs="仿宋_GB2312" w:eastAsia="仿宋_GB2312"/>
                <w:sz w:val="24"/>
                <w:b/>
              </w:rPr>
              <w:t>4、工程内容：本</w:t>
            </w:r>
            <w:r>
              <w:rPr>
                <w:rFonts w:ascii="仿宋_GB2312" w:hAnsi="仿宋_GB2312" w:cs="仿宋_GB2312" w:eastAsia="仿宋_GB2312"/>
                <w:sz w:val="24"/>
              </w:rPr>
              <w:t>项目灌溉排水渠起点位于红庙村南西太路西侧，终点接现状渠道，总长度为</w:t>
            </w:r>
            <w:r>
              <w:rPr>
                <w:rFonts w:ascii="仿宋_GB2312" w:hAnsi="仿宋_GB2312" w:cs="仿宋_GB2312" w:eastAsia="仿宋_GB2312"/>
                <w:sz w:val="24"/>
              </w:rPr>
              <w:t>1425m，尺寸规格为1000x1000mm、1200x1200mm，其中1000x1000mm为上游段，长度 789m，1200x1200mm为下游段，长度636m，排水渠均采用水泥混凝土矩形渠，同时设置启闭一体式闸门2套，敷设蓄水池连接管(d300mm双壁波纹管)50m（具体建设内容以工程量清单为准）。</w:t>
            </w:r>
          </w:p>
          <w:p>
            <w:pPr>
              <w:pStyle w:val="null3"/>
              <w:jc w:val="both"/>
            </w:pPr>
            <w:r>
              <w:rPr>
                <w:rFonts w:ascii="仿宋_GB2312" w:hAnsi="仿宋_GB2312" w:cs="仿宋_GB2312" w:eastAsia="仿宋_GB2312"/>
                <w:sz w:val="24"/>
                <w:b/>
              </w:rPr>
              <w:t>二、编制依据：</w:t>
            </w:r>
          </w:p>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编制依据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定额依据</w:t>
            </w:r>
          </w:p>
          <w:p>
            <w:pPr>
              <w:pStyle w:val="null3"/>
              <w:ind w:firstLine="480"/>
              <w:jc w:val="left"/>
            </w:pPr>
            <w:r>
              <w:rPr>
                <w:rFonts w:ascii="仿宋_GB2312" w:hAnsi="仿宋_GB2312" w:cs="仿宋_GB2312" w:eastAsia="仿宋_GB2312"/>
                <w:sz w:val="24"/>
                <w:color w:val="000000"/>
              </w:rPr>
              <w:t xml:space="preserve">①建筑工程：主要依据《陕西省水利建筑工程 </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预算定额》；</w:t>
            </w:r>
          </w:p>
          <w:p>
            <w:pPr>
              <w:pStyle w:val="null3"/>
              <w:ind w:firstLine="480"/>
              <w:jc w:val="left"/>
            </w:pPr>
            <w:r>
              <w:rPr>
                <w:rFonts w:ascii="仿宋_GB2312" w:hAnsi="仿宋_GB2312" w:cs="仿宋_GB2312" w:eastAsia="仿宋_GB2312"/>
                <w:sz w:val="24"/>
                <w:color w:val="000000"/>
              </w:rPr>
              <w:t>②安装工程：主要依据《陕西省水利设备安装工程 20</w:t>
            </w:r>
            <w:r>
              <w:rPr>
                <w:rFonts w:ascii="仿宋_GB2312" w:hAnsi="仿宋_GB2312" w:cs="仿宋_GB2312" w:eastAsia="仿宋_GB2312"/>
                <w:sz w:val="24"/>
                <w:color w:val="000000"/>
              </w:rPr>
              <w:t>24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预算定额》；</w:t>
            </w:r>
          </w:p>
          <w:p>
            <w:pPr>
              <w:pStyle w:val="null3"/>
              <w:ind w:firstLine="480"/>
              <w:jc w:val="left"/>
            </w:pPr>
            <w:r>
              <w:rPr>
                <w:rFonts w:ascii="仿宋_GB2312" w:hAnsi="仿宋_GB2312" w:cs="仿宋_GB2312" w:eastAsia="仿宋_GB2312"/>
                <w:sz w:val="24"/>
                <w:color w:val="000000"/>
              </w:rPr>
              <w:t>③施工机械台班费定额：《陕西省水利工程施工机械台班费定额》（</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依据本项目的设计图纸</w:t>
            </w:r>
            <w:r>
              <w:rPr>
                <w:rFonts w:ascii="仿宋_GB2312" w:hAnsi="仿宋_GB2312" w:cs="仿宋_GB2312" w:eastAsia="仿宋_GB2312"/>
                <w:sz w:val="24"/>
                <w:color w:val="000000"/>
              </w:rPr>
              <w:t>及概算文件</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基础单价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人工预算单价：按照陕发改《陕西省水利工程概（预）算编制办法及费用标准（</w:t>
            </w:r>
            <w:r>
              <w:rPr>
                <w:rFonts w:ascii="仿宋_GB2312" w:hAnsi="仿宋_GB2312" w:cs="仿宋_GB2312" w:eastAsia="仿宋_GB2312"/>
                <w:sz w:val="24"/>
                <w:color w:val="000000"/>
              </w:rPr>
              <w:t>20</w:t>
            </w:r>
            <w:r>
              <w:rPr>
                <w:rFonts w:ascii="仿宋_GB2312" w:hAnsi="仿宋_GB2312" w:cs="仿宋_GB2312" w:eastAsia="仿宋_GB2312"/>
                <w:sz w:val="24"/>
                <w:color w:val="000000"/>
              </w:rPr>
              <w:t>24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版）》规定</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材料预算价格：</w:t>
            </w:r>
          </w:p>
          <w:p>
            <w:pPr>
              <w:pStyle w:val="null3"/>
              <w:ind w:firstLine="480"/>
              <w:jc w:val="left"/>
            </w:pPr>
            <w:r>
              <w:rPr>
                <w:rFonts w:ascii="仿宋_GB2312" w:hAnsi="仿宋_GB2312" w:cs="仿宋_GB2312" w:eastAsia="仿宋_GB2312"/>
                <w:sz w:val="24"/>
                <w:color w:val="000000"/>
              </w:rPr>
              <w:t>主要材料预算价格：主要材料（水泥、钢筋、原木、板枋材、汽油、柴油）参照《陕西省</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第三期</w:t>
            </w:r>
            <w:r>
              <w:rPr>
                <w:rFonts w:ascii="仿宋_GB2312" w:hAnsi="仿宋_GB2312" w:cs="仿宋_GB2312" w:eastAsia="仿宋_GB2312"/>
                <w:sz w:val="24"/>
                <w:color w:val="000000"/>
              </w:rPr>
              <w:t>造价信息》及当地材料最新调查价。</w:t>
            </w:r>
          </w:p>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工程单价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人工、材料、机械费：按工料单价计算；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其它</w:t>
            </w:r>
            <w:r>
              <w:rPr>
                <w:rFonts w:ascii="仿宋_GB2312" w:hAnsi="仿宋_GB2312" w:cs="仿宋_GB2312" w:eastAsia="仿宋_GB2312"/>
                <w:sz w:val="24"/>
              </w:rPr>
              <w:t>直接</w:t>
            </w:r>
            <w:r>
              <w:rPr>
                <w:rFonts w:ascii="仿宋_GB2312" w:hAnsi="仿宋_GB2312" w:cs="仿宋_GB2312" w:eastAsia="仿宋_GB2312"/>
                <w:sz w:val="24"/>
              </w:rPr>
              <w:t>费：按人工费、材料费、机械费三项之和的百分率计算；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间接费：按〈陕西省水利工程概（预）算编制办法及费用标准〉执行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）利润：</w:t>
            </w:r>
            <w:r>
              <w:rPr>
                <w:rFonts w:ascii="仿宋_GB2312" w:hAnsi="仿宋_GB2312" w:cs="仿宋_GB2312" w:eastAsia="仿宋_GB2312"/>
                <w:sz w:val="24"/>
              </w:rPr>
              <w:t>按</w:t>
            </w:r>
            <w:r>
              <w:rPr>
                <w:rFonts w:ascii="仿宋_GB2312" w:hAnsi="仿宋_GB2312" w:cs="仿宋_GB2312" w:eastAsia="仿宋_GB2312"/>
                <w:sz w:val="24"/>
              </w:rPr>
              <w:t>直接费、间接费的</w:t>
            </w:r>
            <w:r>
              <w:rPr>
                <w:rFonts w:ascii="仿宋_GB2312" w:hAnsi="仿宋_GB2312" w:cs="仿宋_GB2312" w:eastAsia="仿宋_GB2312"/>
                <w:sz w:val="24"/>
              </w:rPr>
              <w:t xml:space="preserve">5% </w:t>
            </w:r>
            <w:r>
              <w:rPr>
                <w:rFonts w:ascii="仿宋_GB2312" w:hAnsi="仿宋_GB2312" w:cs="仿宋_GB2312" w:eastAsia="仿宋_GB2312"/>
                <w:sz w:val="24"/>
              </w:rPr>
              <w:t>执行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）价差：</w:t>
            </w:r>
            <w:r>
              <w:rPr>
                <w:rFonts w:ascii="仿宋_GB2312" w:hAnsi="仿宋_GB2312" w:cs="仿宋_GB2312" w:eastAsia="仿宋_GB2312"/>
                <w:sz w:val="24"/>
              </w:rPr>
              <w:t>按〈陕西省水利工程概（预）算编制办法及费用标准〉执行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6</w:t>
            </w:r>
            <w:r>
              <w:rPr>
                <w:rFonts w:ascii="仿宋_GB2312" w:hAnsi="仿宋_GB2312" w:cs="仿宋_GB2312" w:eastAsia="仿宋_GB2312"/>
                <w:sz w:val="24"/>
                <w:color w:val="993300"/>
              </w:rPr>
              <w:t>）装置性材料：</w:t>
            </w:r>
            <w:r>
              <w:rPr>
                <w:rFonts w:ascii="仿宋_GB2312" w:hAnsi="仿宋_GB2312" w:cs="仿宋_GB2312" w:eastAsia="仿宋_GB2312"/>
                <w:sz w:val="24"/>
                <w:color w:val="993300"/>
              </w:rPr>
              <w:t>按〈陕西省水利工程概（预）算编制办法及费用标准〉执行</w:t>
            </w:r>
            <w:r>
              <w:rPr>
                <w:rFonts w:ascii="仿宋_GB2312" w:hAnsi="仿宋_GB2312" w:cs="仿宋_GB2312" w:eastAsia="仿宋_GB2312"/>
                <w:sz w:val="24"/>
                <w:color w:val="993300"/>
              </w:rPr>
              <w:t>；</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7</w:t>
            </w:r>
            <w:r>
              <w:rPr>
                <w:rFonts w:ascii="仿宋_GB2312" w:hAnsi="仿宋_GB2312" w:cs="仿宋_GB2312" w:eastAsia="仿宋_GB2312"/>
                <w:sz w:val="24"/>
                <w:color w:val="993300"/>
              </w:rPr>
              <w:t>）税金：直接费、间接费、利润、价差、装置性材料费的</w:t>
            </w:r>
            <w:r>
              <w:rPr>
                <w:rFonts w:ascii="仿宋_GB2312" w:hAnsi="仿宋_GB2312" w:cs="仿宋_GB2312" w:eastAsia="仿宋_GB2312"/>
                <w:sz w:val="24"/>
                <w:color w:val="993300"/>
              </w:rPr>
              <w:t xml:space="preserve">9% </w:t>
            </w:r>
            <w:r>
              <w:rPr>
                <w:rFonts w:ascii="仿宋_GB2312" w:hAnsi="仿宋_GB2312" w:cs="仿宋_GB2312" w:eastAsia="仿宋_GB2312"/>
                <w:sz w:val="24"/>
                <w:color w:val="993300"/>
              </w:rPr>
              <w:t>执行</w:t>
            </w:r>
            <w:r>
              <w:rPr>
                <w:rFonts w:ascii="仿宋_GB2312" w:hAnsi="仿宋_GB2312" w:cs="仿宋_GB2312" w:eastAsia="仿宋_GB2312"/>
                <w:sz w:val="24"/>
                <w:color w:val="993300"/>
              </w:rPr>
              <w:t>。</w:t>
            </w:r>
          </w:p>
          <w:p>
            <w:pPr>
              <w:pStyle w:val="null3"/>
              <w:ind w:firstLine="482"/>
              <w:jc w:val="left"/>
            </w:pPr>
            <w:r>
              <w:rPr>
                <w:rFonts w:ascii="仿宋_GB2312" w:hAnsi="仿宋_GB2312" w:cs="仿宋_GB2312" w:eastAsia="仿宋_GB2312"/>
                <w:sz w:val="24"/>
                <w:b/>
                <w:color w:val="000000"/>
              </w:rPr>
              <w:t>（四）其他问题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）暂列金费</w:t>
            </w:r>
            <w:r>
              <w:rPr>
                <w:rFonts w:ascii="仿宋_GB2312" w:hAnsi="仿宋_GB2312" w:cs="仿宋_GB2312" w:eastAsia="仿宋_GB2312"/>
                <w:sz w:val="24"/>
              </w:rPr>
              <w:t>按照</w:t>
            </w:r>
            <w:r>
              <w:rPr>
                <w:rFonts w:ascii="仿宋_GB2312" w:hAnsi="仿宋_GB2312" w:cs="仿宋_GB2312" w:eastAsia="仿宋_GB2312"/>
                <w:sz w:val="24"/>
              </w:rPr>
              <w:t>70000元计入。</w:t>
            </w:r>
          </w:p>
          <w:p>
            <w:pPr>
              <w:pStyle w:val="null3"/>
              <w:ind w:right="-195" w:firstLine="480"/>
              <w:jc w:val="left"/>
            </w:pPr>
            <w:r>
              <w:rPr>
                <w:rFonts w:ascii="仿宋_GB2312" w:hAnsi="仿宋_GB2312" w:cs="仿宋_GB2312" w:eastAsia="仿宋_GB2312"/>
                <w:sz w:val="24"/>
              </w:rPr>
              <w:t>（</w:t>
            </w:r>
            <w:r>
              <w:rPr>
                <w:rFonts w:ascii="仿宋_GB2312" w:hAnsi="仿宋_GB2312" w:cs="仿宋_GB2312" w:eastAsia="仿宋_GB2312"/>
                <w:sz w:val="24"/>
              </w:rPr>
              <w:t>2）编制软件</w:t>
            </w:r>
            <w:r>
              <w:rPr>
                <w:rFonts w:ascii="仿宋_GB2312" w:hAnsi="仿宋_GB2312" w:cs="仿宋_GB2312" w:eastAsia="仿宋_GB2312"/>
                <w:sz w:val="24"/>
                <w:color w:val="000000"/>
              </w:rPr>
              <w:t>编制软件广联达水利水电云计价软件</w:t>
            </w:r>
            <w:r>
              <w:rPr>
                <w:rFonts w:ascii="仿宋_GB2312" w:hAnsi="仿宋_GB2312" w:cs="仿宋_GB2312" w:eastAsia="仿宋_GB2312"/>
                <w:sz w:val="24"/>
                <w:color w:val="000000"/>
              </w:rPr>
              <w:t>GWH5.0版本:5.9.0.2776</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120</w:t>
            </w:r>
            <w:r>
              <w:rPr>
                <w:rFonts w:ascii="仿宋_GB2312" w:hAnsi="仿宋_GB2312" w:cs="仿宋_GB2312" w:eastAsia="仿宋_GB2312"/>
                <w:sz w:val="24"/>
              </w:rPr>
              <w:t>日历天内完成（具体服务起止日期可随合同签订时间相应顺延）</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Ind w:type="dxa" w:w="90"/>
              <w:tblBorders>
                <w:top w:val="none" w:color="000000" w:sz="4"/>
                <w:left w:val="none" w:color="000000" w:sz="4"/>
                <w:bottom w:val="none" w:color="000000" w:sz="4"/>
                <w:right w:val="none" w:color="000000" w:sz="4"/>
                <w:insideH w:val="none"/>
                <w:insideV w:val="none"/>
              </w:tblBorders>
            </w:tblPr>
            <w:tblGrid>
              <w:gridCol w:w="654"/>
              <w:gridCol w:w="1470"/>
              <w:gridCol w:w="682"/>
              <w:gridCol w:w="701"/>
              <w:gridCol w:w="309"/>
            </w:tblGrid>
            <w:tr>
              <w:tc>
                <w:tcPr>
                  <w:tcW w:type="dxa" w:w="6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项目编码</w:t>
                  </w:r>
                </w:p>
              </w:tc>
              <w:tc>
                <w:tcPr>
                  <w:tcW w:type="dxa" w:w="1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6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计量单位</w:t>
                  </w:r>
                </w:p>
              </w:tc>
              <w:tc>
                <w:tcPr>
                  <w:tcW w:type="dxa" w:w="7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工程数量</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混凝土渠道</w:t>
                  </w:r>
                  <w:r>
                    <w:rPr>
                      <w:rFonts w:ascii="仿宋_GB2312" w:hAnsi="仿宋_GB2312" w:cs="仿宋_GB2312" w:eastAsia="仿宋_GB2312"/>
                      <w:sz w:val="24"/>
                      <w:color w:val="000000"/>
                    </w:rPr>
                    <w:t>1000*1000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789</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500109011004</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混凝土渠道</w:t>
                  </w:r>
                  <w:r>
                    <w:rPr>
                      <w:rFonts w:ascii="仿宋_GB2312" w:hAnsi="仿宋_GB2312" w:cs="仿宋_GB2312" w:eastAsia="仿宋_GB2312"/>
                      <w:sz w:val="24"/>
                      <w:color w:val="000000"/>
                    </w:rPr>
                    <w:t>1000*1000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591.87</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AB007</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3156</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AB008</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水泥土（掺水泥量</w:t>
                  </w:r>
                  <w:r>
                    <w:rPr>
                      <w:rFonts w:ascii="仿宋_GB2312" w:hAnsi="仿宋_GB2312" w:cs="仿宋_GB2312" w:eastAsia="仿宋_GB2312"/>
                      <w:sz w:val="24"/>
                      <w:color w:val="000000"/>
                    </w:rPr>
                    <w:t>5%）</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1341.56666667</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AB009</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聚乙烯闭孔泡沫板伸缩缝</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68.81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混凝土渠道</w:t>
                  </w:r>
                  <w:r>
                    <w:rPr>
                      <w:rFonts w:ascii="仿宋_GB2312" w:hAnsi="仿宋_GB2312" w:cs="仿宋_GB2312" w:eastAsia="仿宋_GB2312"/>
                      <w:sz w:val="24"/>
                      <w:color w:val="000000"/>
                    </w:rPr>
                    <w:t>1200*1200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635</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500109011005</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混凝土渠道</w:t>
                  </w:r>
                  <w:r>
                    <w:rPr>
                      <w:rFonts w:ascii="仿宋_GB2312" w:hAnsi="仿宋_GB2312" w:cs="仿宋_GB2312" w:eastAsia="仿宋_GB2312"/>
                      <w:sz w:val="24"/>
                      <w:color w:val="000000"/>
                    </w:rPr>
                    <w:t>1200*1200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552.8</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AB010</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3048</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水泥土（掺水泥量</w:t>
                  </w:r>
                  <w:r>
                    <w:rPr>
                      <w:rFonts w:ascii="仿宋_GB2312" w:hAnsi="仿宋_GB2312" w:cs="仿宋_GB2312" w:eastAsia="仿宋_GB2312"/>
                      <w:sz w:val="24"/>
                      <w:color w:val="000000"/>
                    </w:rPr>
                    <w:t>5%）</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1197.36666667</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AB012</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聚乙烯闭孔泡沫板</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55.89</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启闭一体式闸门</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AB013</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启闭一体式闸门</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HDPE双壁波纹管DN300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AB014</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HDPE双壁波纹管DN300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40</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500101004001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沟、槽土开挖</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26.8</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500103007001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150厚3：7垫层筑</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500103007002</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300厚中粗砂垫层</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500103001003</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素土回填</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8.8</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垃圾外运</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AB015</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垃圾外运</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2142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伐树</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AB016</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伐树（胸径</w:t>
                  </w:r>
                  <w:r>
                    <w:rPr>
                      <w:rFonts w:ascii="仿宋_GB2312" w:hAnsi="仿宋_GB2312" w:cs="仿宋_GB2312" w:eastAsia="仿宋_GB2312"/>
                      <w:sz w:val="24"/>
                      <w:color w:val="000000"/>
                    </w:rPr>
                    <w:t>15cm)</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40</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盖板</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500112001001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钢筋混凝土盖板</w:t>
                  </w:r>
                  <w:r>
                    <w:rPr>
                      <w:rFonts w:ascii="仿宋_GB2312" w:hAnsi="仿宋_GB2312" w:cs="仿宋_GB2312" w:eastAsia="仿宋_GB2312"/>
                      <w:sz w:val="24"/>
                      <w:color w:val="000000"/>
                    </w:rPr>
                    <w:t>490*1200*80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26</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500112001002</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钢筋混凝土盖板</w:t>
                  </w:r>
                  <w:r>
                    <w:rPr>
                      <w:rFonts w:ascii="仿宋_GB2312" w:hAnsi="仿宋_GB2312" w:cs="仿宋_GB2312" w:eastAsia="仿宋_GB2312"/>
                      <w:sz w:val="24"/>
                      <w:color w:val="000000"/>
                    </w:rPr>
                    <w:t>490*1500*100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14</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土方工程</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500101003001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现状土方开挖</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3453.22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500103001004</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排水渠两侧土方回填</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1275.13</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AB017</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3917.2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水泥混凝土路面破除外运并恢复</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AB018</w:t>
                  </w:r>
                </w:p>
              </w:tc>
              <w:tc>
                <w:tcPr>
                  <w:tcW w:type="dxa" w:w="14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水泥混凝土路面破除外运（水泥混凝土</w:t>
                  </w:r>
                  <w:r>
                    <w:rPr>
                      <w:rFonts w:ascii="仿宋_GB2312" w:hAnsi="仿宋_GB2312" w:cs="仿宋_GB2312" w:eastAsia="仿宋_GB2312"/>
                      <w:sz w:val="24"/>
                      <w:color w:val="000000"/>
                    </w:rPr>
                    <w:t>20cm 石灰土20cm)</w:t>
                  </w:r>
                </w:p>
              </w:tc>
              <w:tc>
                <w:tcPr>
                  <w:tcW w:type="dxa" w:w="6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32.2</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AB001</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水泥混凝土路面</w:t>
                  </w:r>
                  <w:r>
                    <w:rPr>
                      <w:rFonts w:ascii="仿宋_GB2312" w:hAnsi="仿宋_GB2312" w:cs="仿宋_GB2312" w:eastAsia="仿宋_GB2312"/>
                      <w:sz w:val="24"/>
                      <w:color w:val="000000"/>
                    </w:rPr>
                    <w:t>18厚C25</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32.2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AB002</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20cm厚石灰土垫层（3:7灰土）</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32.2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水泥混凝土</w:t>
                  </w:r>
                  <w:r>
                    <w:rPr>
                      <w:rFonts w:ascii="仿宋_GB2312" w:hAnsi="仿宋_GB2312" w:cs="仿宋_GB2312" w:eastAsia="仿宋_GB2312"/>
                      <w:sz w:val="24"/>
                      <w:color w:val="000000"/>
                    </w:rPr>
                    <w:t>C30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500109011006</w:t>
                  </w:r>
                </w:p>
              </w:tc>
              <w:tc>
                <w:tcPr>
                  <w:tcW w:type="dxa" w:w="14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水泥混凝土</w:t>
                  </w:r>
                  <w:r>
                    <w:rPr>
                      <w:rFonts w:ascii="仿宋_GB2312" w:hAnsi="仿宋_GB2312" w:cs="仿宋_GB2312" w:eastAsia="仿宋_GB2312"/>
                      <w:sz w:val="24"/>
                      <w:color w:val="000000"/>
                    </w:rPr>
                    <w:t>C30</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0.5</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b/>
              </w:rPr>
              <w:t>十、施工图纸：</w:t>
            </w:r>
            <w:r>
              <w:rPr>
                <w:rFonts w:ascii="仿宋_GB2312" w:hAnsi="仿宋_GB2312" w:cs="仿宋_GB2312" w:eastAsia="仿宋_GB2312"/>
                <w:sz w:val="24"/>
              </w:rPr>
              <w:t>另附电子版。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以施工图纸及工程量清单要求为准。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微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资质证明文件.docx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信用中国及中国政府采购网查询截图</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资质证明文件.docx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磋商响应文件中项目名称、项目编号、合同包号与本项目一致，无遗漏；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供应商承诺书.docx 强制优先采购产品承诺函 响应文件封面 项目管理机构组成表 残疾人福利性单位声明函 报价函 业绩响应一览表.docx 标的清单 响应函 主要人员简历表 资质证明文件.docx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磋商响应文件签署、盖章及投标有效期符合招标文件要求；</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供应商承诺书.docx 强制优先采购产品承诺函 响应文件封面 项目管理机构组成表 残疾人福利性单位声明函 报价函 业绩响应一览表.docx 标的清单 响应函 主要人员简历表 资质证明文件.docx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磋商响应报价符合唯一性要求</w:t>
            </w:r>
          </w:p>
        </w:tc>
        <w:tc>
          <w:tcPr>
            <w:tcW w:type="dxa" w:w="3322"/>
          </w:tcPr>
          <w:p>
            <w:pPr>
              <w:pStyle w:val="null3"/>
            </w:pPr>
            <w:r>
              <w:rPr>
                <w:rFonts w:ascii="仿宋_GB2312" w:hAnsi="仿宋_GB2312" w:cs="仿宋_GB2312" w:eastAsia="仿宋_GB2312"/>
              </w:rPr>
              <w:t>磋商响应报价符合唯一性要求；投标报价未超出采购预算或采购最高限价；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响应文件封面 技术服务方案.docx 已标价工程量清单 项目管理机构组成表 中小企业声明函 报价函 技术服务合同条款及其他商务要求应答表 标的清单 响应函 主要人员简历表 资质证明文件.docx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没有出现法律法规或磋商文件明确规定的其他被视为“无效投标”的情形及未实质性响应磋商文件的情况。</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供应商承诺书.docx 强制优先采购产品承诺函 响应文件封面 项目管理机构组成表 残疾人福利性单位声明函 报价函 业绩响应一览表.docx 标的清单 响应函 主要人员简历表 资质证明文件.docx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 （2）施工方案能够针对本项目编制，符合项目实际情况及实施要求，内容详尽且涵盖角度基本全面，有一定的合理性和可行性的，得8分; （3）施工方案基本能够针对本项目编制，基本符合项目实际情况及实施要求，内容较宽泛，涵盖角度不够全面，内容基本合理可行的，得6分; （4）具有方案内容但内容未贴合本项目，内容涵盖角度不够全面且实施有难度的，得4分;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内容包括但不限于①安全生产管 理制度；②配置安全组织机构；③安全隐患排查、整改制度；④应急救援机制等。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 ②防尘降噪措施； ③节能减排措施； ④文明及环境保护施工监督检查机制等。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内容包括但不限于①项目管理机构图;②岗位安排及职责（配备施工员、安全员、资料员、材料员、质量员）；③管理制度；④相应的协调措施；⑤劳动力投入计划。 评审标准：（1）项目部组成科学合理、人员表配置充足，有详细的人员配置清单，针对性强，能够很好的满足项目需求，得10分；（2）项目部组成基本合理、人员表配置基本齐全，具有人员配置清单，有一定的针对性，能够满足项目需求，得8分；（3）提供项目部组成情况，配置基本合理但组成不全面得6分；（4）项目部组成人员缺乏科学合理性，无人员配置清单，无法满足项目需求，得4分；（5）项目部组成内容简单笼统得2分； （6）未提供项目部组成不得分。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③施工机械的维护保养和材料的贮存； ④施工机械、材料的监督和检查等。 评审标准：（1）投入计划专门针对本项目编制，符合项目实际情况及实施要求，内容详尽且涵盖角度全面，合理性和可行性强，能够保障项目顺利实施的，得10分; （2）投入计划基本针对本项目编制，符合项目实际情况及实施要求，内容详尽且涵盖角度基本全面，有一定的合理性和可行性的，得8分; （3）投入计划能够针对本项目编制，基本符合项目实际情况及实施要求，内容较详细，涵盖角度较全面但略有不完善，基本合理可行的，得6分; （4）提供投入计划，但内容涵盖角度不够全面且实施具有一定难度，得4分; （5）投入计划内容简单笼统，实施难度大的，得2分; （6）未提供投入计划内容不得分。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5分；（2）网络图或进度表内容详尽、工期目标及措施安排合理且实施性较强计4分；（3）提供网络图或进度表内容、工期目标及措施安排基本合理实施性缺乏计3分；（4）提供网络图或进度表，工期目标及措施内容不够全面，实施性不强计2分；（5）提供网络图或进度表，工期目标及措施内容不合理，不具有实施性计1分。（6）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 评审标准：（1）内容完善、科学、合理、针对性强得3分；（2）内容基本合理、可行得2分；（3）内容未针对本项目，内容空洞宽泛，可实施性不强，得1分;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提供近三年（2022年8月至今） 类似项目业绩，每提供一个类似项目业绩计1分，满分2分（以施工合同为准，时间以合同内时间为准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详见附件：业绩响应一览表.docx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