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版本号：HXGJXM2025-ZC-JT101320260112001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2025年长安区农业生产防灾减灾病虫害防控专项资金项目(三次)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HXGJXM2025-ZC-JT1013</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2025年长安区农业生产防灾减灾病虫害防控专项资金项目(三次)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2025年长安区农业生产防灾减灾病虫害防控专项资金项目(三次)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西安市农业农村局关于用好防灾救灾资金做好农作物病虫害防治工作的通知》（市农发〔2025〕127号）文件精神，为保障粮食丰产丰收，降低小麦条锈病、玉米粘虫的流行和危害，用足用好陕西防灾减灾资金，采用以群防群治为主，发放群防药剂4.2万亩，带动全区小麦条锈病和玉米粘虫防治工作，确保我区粮食生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采购包1（2025年长安区农业生产防灾减灾病虫害防控专项资金项目）：属于专门面向中小企业采购。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被授权人授权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2、资质：农业部门颁发的《农药经营许可证》</w:t>
      </w:r>
    </w:p>
    <w:p>
      <w:pPr>
        <w:pStyle w:val="null3"/>
      </w:pPr>
      <w:r>
        <w:rPr>
          <w:rFonts w:ascii="仿宋_GB2312" w:hAnsi="仿宋_GB2312" w:cs="仿宋_GB2312" w:eastAsia="仿宋_GB2312"/>
        </w:rPr>
        <w:t>3、证书：供应商需提供相关部门颁发的农药登记证、农药生产许可证、农药产品标准证、肥料登记证或肥料产品标准证。</w:t>
      </w:r>
    </w:p>
    <w:p>
      <w:pPr>
        <w:pStyle w:val="null3"/>
      </w:pPr>
      <w:r>
        <w:rPr>
          <w:rFonts w:ascii="仿宋_GB2312" w:hAnsi="仿宋_GB2312" w:cs="仿宋_GB2312" w:eastAsia="仿宋_GB2312"/>
        </w:rPr>
        <w:t>4、信用记录：供应商未被“信用中国”网站（www.creditchina.gov.cn）列入失信被执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13572429842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宋文倩、康敏茹、刘锦江、张艳萍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029-88899970-822/17782931529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户名：华夏国际项目管理（西安）有限公司第一分公司 开户行：中国光大银行股份有限公司西安南二环支行 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验收以国内行业标准或合同文本货物供货配置清单中描述的有关技术要求为准。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联系人：宋文倩、康敏茹、刘锦江、张艳萍</w:t>
      </w:r>
    </w:p>
    <w:p>
      <w:pPr>
        <w:pStyle w:val="null3"/>
      </w:pPr>
      <w:r>
        <w:rPr>
          <w:rFonts w:ascii="仿宋_GB2312" w:hAnsi="仿宋_GB2312" w:cs="仿宋_GB2312" w:eastAsia="仿宋_GB2312"/>
        </w:rPr>
        <w:t>联系电话：029-88899970-822/17782931529</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农业农村局关于用好防灾救灾资金做好农作物病虫害防治工作的通知》（市农发〔2025〕127号）文件精神，为保障粮食丰产丰收，降低小麦条锈病、玉米粘虫的流行和危害，用足用好陕西防灾减灾资金，采用以群防群治为主，发放群防药剂4.2万亩，带动全区小麦条锈病和玉米粘虫防治工作，确保我区粮食生产安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化学农药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标的名称：化学农药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1、2.4万亩小麦条锈病防治药剂，1.8万亩玉米粘虫防治药剂。</w:t>
            </w:r>
            <w:r>
              <w:rPr>
                <w:rFonts w:ascii="仿宋_GB2312" w:hAnsi="仿宋_GB2312" w:cs="仿宋_GB2312" w:eastAsia="仿宋_GB2312"/>
                <w:sz w:val="20"/>
                <w:b/>
                <w:color w:val="FF0000"/>
              </w:rPr>
              <w:t>（核心产品为</w:t>
            </w:r>
            <w:r>
              <w:rPr>
                <w:rFonts w:ascii="仿宋_GB2312" w:hAnsi="仿宋_GB2312" w:cs="仿宋_GB2312" w:eastAsia="仿宋_GB2312"/>
                <w:sz w:val="20"/>
                <w:b/>
                <w:color w:val="FF0000"/>
              </w:rPr>
              <w:t>20%三唑酮）</w:t>
            </w:r>
          </w:p>
          <w:p>
            <w:pPr>
              <w:pStyle w:val="null3"/>
              <w:jc w:val="both"/>
            </w:pPr>
            <w:r>
              <w:rPr>
                <w:rFonts w:ascii="仿宋_GB2312" w:hAnsi="仿宋_GB2312" w:cs="仿宋_GB2312" w:eastAsia="仿宋_GB2312"/>
                <w:sz w:val="20"/>
              </w:rPr>
              <w:t>★2、小麦条锈病防治药剂为20%三唑酮50克/亩[规格≤200克/（瓶/袋/包）]+ 5%高效氯氟氰菊酯25克/亩[规格≤100克/（瓶/袋/包）]+99%磷酸二氢钾100克/亩[规格≤100克/（瓶/袋/包）]。</w:t>
            </w:r>
          </w:p>
          <w:p>
            <w:pPr>
              <w:pStyle w:val="null3"/>
              <w:jc w:val="both"/>
            </w:pPr>
            <w:r>
              <w:rPr>
                <w:rFonts w:ascii="仿宋_GB2312" w:hAnsi="仿宋_GB2312" w:cs="仿宋_GB2312" w:eastAsia="仿宋_GB2312"/>
                <w:sz w:val="20"/>
              </w:rPr>
              <w:t>★3、玉米粘虫防治药剂为5%高氯·甲维盐20克/亩[规格≤200克/（瓶/袋/包）]+99%磷酸二氢钾100克/亩[规格≤100克/（瓶/袋/包）]。</w:t>
            </w:r>
          </w:p>
          <w:p>
            <w:pPr>
              <w:pStyle w:val="null3"/>
              <w:jc w:val="both"/>
            </w:pPr>
            <w:r>
              <w:rPr>
                <w:rFonts w:ascii="仿宋_GB2312" w:hAnsi="仿宋_GB2312" w:cs="仿宋_GB2312" w:eastAsia="仿宋_GB2312"/>
                <w:sz w:val="20"/>
              </w:rPr>
              <w:t>★4、服务要求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1）成交方务必于2026年3月1日前将中标的条锈病的群防药剂配送到甲方指定地点；2026年6月1日前将中标的玉米粘虫的群防药剂配送到甲方指定地点。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2）成交方需为甲方收集药剂发放清册。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3）成交方所供的药剂生产日期必于为2025年10月1日之后。</w:t>
            </w:r>
          </w:p>
          <w:p>
            <w:pPr>
              <w:pStyle w:val="null3"/>
            </w:pPr>
            <w:r>
              <w:rPr>
                <w:rFonts w:ascii="仿宋_GB2312" w:hAnsi="仿宋_GB2312" w:cs="仿宋_GB2312" w:eastAsia="仿宋_GB2312"/>
                <w:sz w:val="20"/>
              </w:rPr>
              <w:t>★5、提供所投产品的质检报告（质检报告时间应在递交响应文件截止之日前半年之内）。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成交方务必于2026年3月1日前将中标的条锈病的群防药剂配送到甲方指定地点；2026年6月1日前将中标的玉米粘虫的群防药剂配送到甲方指定地点。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项目实施并验收完成后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验收以国内行业标准或合同文本货物供货配置清单中描述的有关技术要求为准。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1、因提供药剂质量问题造成的经济损失由成交方负责。采购配送不力或遗误，产生的经济损失由成交方承担。 2、如果未按甲方要求时限及时送货导致农时延误，产生经济损失由成交方承担。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（3）提供递交响应文件截止之日前半年内任意一个月的依法缴纳税收的完税证明，完税证明应有税务机关或代收机关的公章或业务专用章。依法免税或无须缴纳税收的供应商，应提供相应证明文件。 （4）提供谈判截止日前半年内已缴存的至少一个月的社会保障资金缴存单据或社保机构开具的社会保险参保缴费情况证明，依法不需要缴纳社会保障资金的单位应提供相关证明材料；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谈判资格证明文件.docx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法定代表人/被授权人授权书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农业部门颁发的《农药经营许可证》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供应商需提供相关部门颁发的农药登记证、农药生产许可证、农药产品标准证、肥料登记证或肥料产品标准证。</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谈判资格证明文件.docx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谈判资格证明文件.docx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商务应答表 报价表 供应商承诺书.docx 一次药剂报价明细.docx 谈判资格证明文件.docx 响应文件封面 残疾人福利性单位声明函 商务条款偏离表及投入人员汇总.docx 标的清单 其他资料.docx 二次药剂报价明细.docx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商务应答表 报价表 供应商承诺书.docx 一次药剂报价明细.docx 谈判资格证明文件.docx 响应文件封面 残疾人福利性单位声明函 商务条款偏离表及投入人员汇总.docx 标的清单 其他资料.docx 二次药剂报价明细.docx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 一次药剂报价明细.docx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商务应答表 报价表 供应商承诺书.docx 一次药剂报价明细.docx 谈判资格证明文件.docx 响应文件封面 残疾人福利性单位声明函 商务条款偏离表及投入人员汇总.docx 标的清单 其他资料.docx 二次药剂报价明细.docx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商务应答表 报价表 供应商承诺书.docx 一次药剂报价明细.docx 谈判资格证明文件.docx 响应文件封面 残疾人福利性单位声明函 商务条款偏离表及投入人员汇总.docx 标的清单 其他资料.docx 二次药剂报价明细.docx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详见附件：谈判资格证明文件.docx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详见附件：一次药剂报价明细.docx</w:t>
      </w:r>
    </w:p>
    <w:p>
      <w:pPr>
        <w:pStyle w:val="null3"/>
        <w:ind w:firstLine="960"/>
      </w:pPr>
      <w:r>
        <w:rPr>
          <w:rFonts w:ascii="仿宋_GB2312" w:hAnsi="仿宋_GB2312" w:cs="仿宋_GB2312" w:eastAsia="仿宋_GB2312"/>
        </w:rPr>
        <w:t>详见附件：二次药剂报价明细.docx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