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版本号：SZT2026-SN-QC-ZC-FW-003220260113001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长安区王莽街道韦一村崩塌治理工程勘察设计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SZT2026-SN-QC-ZC-FW-0032</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长安区王莽街道韦一村崩塌治理工程勘察设计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SZT2026-SN-QC-ZC-FW-0032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长安区王莽街道韦一村崩塌治理工程勘察设计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本项目为长安区王莽街道韦一村崩塌治理工程的勘察设计。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采购包1（长安区王莽街道韦一村崩塌治理工程勘察设计）：属于专门面向中小企业采购。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1、供应商要求：供应商须具有地质灾害评估和治理工程勘查设计乙级及以上资质。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西安市自然资源和规划局长安分局矿产资源管理站经办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本项目为长安区王莽街道韦一村崩塌治理工程的勘察设计。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崩塌治理工程勘察设计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标的名称：崩塌治理工程勘察设计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韦一村崩塌地貌类型属黄土台塬斜坡区地貌，微地貌为陡坡。地理坐标东经</w:t>
            </w:r>
            <w:r>
              <w:rPr>
                <w:rFonts w:ascii="仿宋_GB2312" w:hAnsi="仿宋_GB2312" w:cs="仿宋_GB2312" w:eastAsia="仿宋_GB2312"/>
                <w:sz w:val="21"/>
              </w:rPr>
              <w:t>109</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04.09</w:t>
            </w:r>
            <w:r>
              <w:rPr>
                <w:rFonts w:ascii="仿宋_GB2312" w:hAnsi="仿宋_GB2312" w:cs="仿宋_GB2312" w:eastAsia="仿宋_GB2312"/>
                <w:sz w:val="21"/>
              </w:rPr>
              <w:t>”</w:t>
            </w:r>
            <w:r>
              <w:rPr>
                <w:rFonts w:ascii="仿宋_GB2312" w:hAnsi="仿宋_GB2312" w:cs="仿宋_GB2312" w:eastAsia="仿宋_GB2312"/>
                <w:sz w:val="21"/>
              </w:rPr>
              <w:t>，北纬</w:t>
            </w: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37.98</w:t>
            </w:r>
            <w:r>
              <w:rPr>
                <w:rFonts w:ascii="仿宋_GB2312" w:hAnsi="仿宋_GB2312" w:cs="仿宋_GB2312" w:eastAsia="仿宋_GB2312"/>
                <w:sz w:val="21"/>
              </w:rPr>
              <w:t>”</w:t>
            </w:r>
            <w:r>
              <w:rPr>
                <w:rFonts w:ascii="仿宋_GB2312" w:hAnsi="仿宋_GB2312" w:cs="仿宋_GB2312" w:eastAsia="仿宋_GB2312"/>
                <w:sz w:val="21"/>
              </w:rPr>
              <w:t>。韦一村崩塌整体崩向约</w:t>
            </w:r>
            <w:r>
              <w:rPr>
                <w:rFonts w:ascii="仿宋_GB2312" w:hAnsi="仿宋_GB2312" w:cs="仿宋_GB2312" w:eastAsia="仿宋_GB2312"/>
                <w:sz w:val="21"/>
              </w:rPr>
              <w:t>180</w:t>
            </w:r>
            <w:r>
              <w:rPr>
                <w:rFonts w:ascii="仿宋_GB2312" w:hAnsi="仿宋_GB2312" w:cs="仿宋_GB2312" w:eastAsia="仿宋_GB2312"/>
                <w:sz w:val="21"/>
              </w:rPr>
              <w:t>°</w:t>
            </w:r>
            <w:r>
              <w:rPr>
                <w:rFonts w:ascii="仿宋_GB2312" w:hAnsi="仿宋_GB2312" w:cs="仿宋_GB2312" w:eastAsia="仿宋_GB2312"/>
                <w:sz w:val="21"/>
              </w:rPr>
              <w:t>，整体宽约</w:t>
            </w:r>
            <w:r>
              <w:rPr>
                <w:rFonts w:ascii="仿宋_GB2312" w:hAnsi="仿宋_GB2312" w:cs="仿宋_GB2312" w:eastAsia="仿宋_GB2312"/>
                <w:sz w:val="21"/>
              </w:rPr>
              <w:t>260m，斜坡总高12-20m,其中坡脚(陡直段)高10~15m,崩塌隐患厚约3.0m,体积近1.17</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4</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，规模属中型。坡度在</w:t>
            </w:r>
            <w:r>
              <w:rPr>
                <w:rFonts w:ascii="仿宋_GB2312" w:hAnsi="仿宋_GB2312" w:cs="仿宋_GB2312" w:eastAsia="仿宋_GB2312"/>
                <w:sz w:val="21"/>
              </w:rPr>
              <w:t>59~80</w:t>
            </w:r>
            <w:r>
              <w:rPr>
                <w:rFonts w:ascii="仿宋_GB2312" w:hAnsi="仿宋_GB2312" w:cs="仿宋_GB2312" w:eastAsia="仿宋_GB2312"/>
                <w:sz w:val="21"/>
              </w:rPr>
              <w:t>°</w:t>
            </w:r>
            <w:r>
              <w:rPr>
                <w:rFonts w:ascii="仿宋_GB2312" w:hAnsi="仿宋_GB2312" w:cs="仿宋_GB2312" w:eastAsia="仿宋_GB2312"/>
                <w:sz w:val="21"/>
              </w:rPr>
              <w:t>，局部呈近直立状，剖面形态呈近直线形，根据其分布位置，大致可以分为东、中及西三段，详述如下</w:t>
            </w:r>
            <w:r>
              <w:rPr>
                <w:rFonts w:ascii="仿宋_GB2312" w:hAnsi="仿宋_GB2312" w:cs="仿宋_GB2312" w:eastAsia="仿宋_GB2312"/>
                <w:sz w:val="21"/>
              </w:rPr>
              <w:t>：</w:t>
            </w:r>
          </w:p>
          <w:p>
            <w:pPr>
              <w:pStyle w:val="null3"/>
            </w:pPr>
            <w:r>
              <w:rPr>
                <w:rFonts w:ascii="仿宋_GB2312" w:hAnsi="仿宋_GB2312" w:cs="仿宋_GB2312" w:eastAsia="仿宋_GB2312"/>
                <w:sz w:val="21"/>
              </w:rPr>
              <w:t>西段崩塌体高约</w:t>
            </w:r>
            <w:r>
              <w:rPr>
                <w:rFonts w:ascii="仿宋_GB2312" w:hAnsi="仿宋_GB2312" w:cs="仿宋_GB2312" w:eastAsia="仿宋_GB2312"/>
                <w:sz w:val="21"/>
              </w:rPr>
              <w:t>18-19m，宽约50m，厚度约3m，方量约0.3X10</w:t>
            </w:r>
            <w:r>
              <w:rPr>
                <w:rFonts w:ascii="仿宋_GB2312" w:hAnsi="仿宋_GB2312" w:cs="仿宋_GB2312" w:eastAsia="仿宋_GB2312"/>
                <w:sz w:val="21"/>
                <w:vertAlign w:val="superscript"/>
              </w:rPr>
              <w:t>4</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，崩塌体平均坡度约</w:t>
            </w: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，崩向</w:t>
            </w:r>
            <w:r>
              <w:rPr>
                <w:rFonts w:ascii="仿宋_GB2312" w:hAnsi="仿宋_GB2312" w:cs="仿宋_GB2312" w:eastAsia="仿宋_GB2312"/>
                <w:sz w:val="21"/>
              </w:rPr>
              <w:t>185</w:t>
            </w:r>
            <w:r>
              <w:rPr>
                <w:rFonts w:ascii="仿宋_GB2312" w:hAnsi="仿宋_GB2312" w:cs="仿宋_GB2312" w:eastAsia="仿宋_GB2312"/>
                <w:sz w:val="21"/>
              </w:rPr>
              <w:t>°</w:t>
            </w:r>
          </w:p>
          <w:p>
            <w:pPr>
              <w:pStyle w:val="null3"/>
            </w:pPr>
            <w:r>
              <w:rPr>
                <w:rFonts w:ascii="仿宋_GB2312" w:hAnsi="仿宋_GB2312" w:cs="仿宋_GB2312" w:eastAsia="仿宋_GB2312"/>
                <w:sz w:val="21"/>
              </w:rPr>
              <w:t>中段崩塌体高约</w:t>
            </w:r>
            <w:r>
              <w:rPr>
                <w:rFonts w:ascii="仿宋_GB2312" w:hAnsi="仿宋_GB2312" w:cs="仿宋_GB2312" w:eastAsia="仿宋_GB2312"/>
                <w:sz w:val="21"/>
              </w:rPr>
              <w:t>12m，宽约50m，厚度约3m，方量约0.18X10</w:t>
            </w:r>
            <w:r>
              <w:rPr>
                <w:rFonts w:ascii="仿宋_GB2312" w:hAnsi="仿宋_GB2312" w:cs="仿宋_GB2312" w:eastAsia="仿宋_GB2312"/>
                <w:sz w:val="21"/>
                <w:vertAlign w:val="superscript"/>
              </w:rPr>
              <w:t>4</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，崩塌体平均坡度约</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，崩向</w:t>
            </w:r>
            <w:r>
              <w:rPr>
                <w:rFonts w:ascii="仿宋_GB2312" w:hAnsi="仿宋_GB2312" w:cs="仿宋_GB2312" w:eastAsia="仿宋_GB2312"/>
                <w:sz w:val="21"/>
              </w:rPr>
              <w:t>148</w:t>
            </w:r>
            <w:r>
              <w:rPr>
                <w:rFonts w:ascii="仿宋_GB2312" w:hAnsi="仿宋_GB2312" w:cs="仿宋_GB2312" w:eastAsia="仿宋_GB2312"/>
                <w:sz w:val="21"/>
              </w:rPr>
              <w:t>°</w:t>
            </w:r>
          </w:p>
          <w:p>
            <w:pPr>
              <w:pStyle w:val="null3"/>
            </w:pPr>
            <w:r>
              <w:rPr>
                <w:rFonts w:ascii="仿宋_GB2312" w:hAnsi="仿宋_GB2312" w:cs="仿宋_GB2312" w:eastAsia="仿宋_GB2312"/>
                <w:sz w:val="21"/>
              </w:rPr>
              <w:t>东段崩塌体高约</w:t>
            </w:r>
            <w:r>
              <w:rPr>
                <w:rFonts w:ascii="仿宋_GB2312" w:hAnsi="仿宋_GB2312" w:cs="仿宋_GB2312" w:eastAsia="仿宋_GB2312"/>
                <w:sz w:val="21"/>
              </w:rPr>
              <w:t>15m，宽约150m，厚度约3m，方量约0.675x10</w:t>
            </w:r>
            <w:r>
              <w:rPr>
                <w:rFonts w:ascii="仿宋_GB2312" w:hAnsi="仿宋_GB2312" w:cs="仿宋_GB2312" w:eastAsia="仿宋_GB2312"/>
                <w:sz w:val="21"/>
                <w:vertAlign w:val="superscript"/>
              </w:rPr>
              <w:t>4</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，崩塌体平均坡度约</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，崩向</w:t>
            </w:r>
            <w:r>
              <w:rPr>
                <w:rFonts w:ascii="仿宋_GB2312" w:hAnsi="仿宋_GB2312" w:cs="仿宋_GB2312" w:eastAsia="仿宋_GB2312"/>
                <w:sz w:val="21"/>
              </w:rPr>
              <w:t>148</w:t>
            </w:r>
            <w:r>
              <w:rPr>
                <w:rFonts w:ascii="仿宋_GB2312" w:hAnsi="仿宋_GB2312" w:cs="仿宋_GB2312" w:eastAsia="仿宋_GB2312"/>
                <w:sz w:val="21"/>
              </w:rPr>
              <w:t>°</w:t>
            </w:r>
          </w:p>
          <w:p>
            <w:pPr>
              <w:pStyle w:val="null3"/>
            </w:pPr>
            <w:r>
              <w:rPr>
                <w:rFonts w:ascii="仿宋_GB2312" w:hAnsi="仿宋_GB2312" w:cs="仿宋_GB2312" w:eastAsia="仿宋_GB2312"/>
                <w:sz w:val="21"/>
              </w:rPr>
              <w:t>二、项目目的</w:t>
            </w:r>
          </w:p>
          <w:p>
            <w:pPr>
              <w:pStyle w:val="null3"/>
            </w:pPr>
            <w:r>
              <w:rPr>
                <w:rFonts w:ascii="仿宋_GB2312" w:hAnsi="仿宋_GB2312" w:cs="仿宋_GB2312" w:eastAsia="仿宋_GB2312"/>
                <w:sz w:val="21"/>
              </w:rPr>
              <w:t>按照《地质灾害防治工程勘查规程》</w:t>
            </w:r>
            <w:r>
              <w:rPr>
                <w:rFonts w:ascii="仿宋_GB2312" w:hAnsi="仿宋_GB2312" w:cs="仿宋_GB2312" w:eastAsia="仿宋_GB2312"/>
                <w:sz w:val="21"/>
              </w:rPr>
              <w:t>(DBJ61/T181-2021)等技术标准，查明滑坡的空间形态特征，查明滑坡所处的地质环境背景、工程地质条件、水文地质条件，坡体的地层结构特征，坡体各层岩土体力学性质指标，分析坡体的稳定性，为滑坡防治提供依据并提出相应的治理建议。在工程勘察报告的基础上研究治理工程设计，同时为治理工程施工提供工作基础，从而通过治理工程的实施，确保居民的生命财产安全。</w:t>
            </w:r>
          </w:p>
          <w:p>
            <w:pPr>
              <w:pStyle w:val="null3"/>
            </w:pPr>
            <w:r>
              <w:rPr>
                <w:rFonts w:ascii="仿宋_GB2312" w:hAnsi="仿宋_GB2312" w:cs="仿宋_GB2312" w:eastAsia="仿宋_GB2312"/>
                <w:sz w:val="21"/>
              </w:rPr>
              <w:t>三、项目任务</w:t>
            </w:r>
          </w:p>
          <w:p>
            <w:pPr>
              <w:pStyle w:val="null3"/>
            </w:pPr>
            <w:r>
              <w:rPr>
                <w:rFonts w:ascii="仿宋_GB2312" w:hAnsi="仿宋_GB2312" w:cs="仿宋_GB2312" w:eastAsia="仿宋_GB2312"/>
                <w:sz w:val="21"/>
              </w:rPr>
              <w:t>（</w:t>
            </w:r>
            <w:r>
              <w:rPr>
                <w:rFonts w:ascii="仿宋_GB2312" w:hAnsi="仿宋_GB2312" w:cs="仿宋_GB2312" w:eastAsia="仿宋_GB2312"/>
                <w:sz w:val="21"/>
              </w:rPr>
              <w:t>1）收集勘查区环境地质、水文地质、工程地质、气象、地震及人类工程活动资料，分析滑坡形成的自然地质背景条件；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2）对滑坡区进行1:500地形图测绘和1:200剖面测绘，为滑坡的工程治理可行性研究提供基础测量资料；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3）开展1:500环境地质调查，查明勘查区滑坡灾害的地形地貌、地质构造特征等地质环境条件；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4）查明滑坡区工程地质条件，提供所需的岩土体物理力学参数；</w:t>
            </w:r>
          </w:p>
          <w:p>
            <w:pPr>
              <w:pStyle w:val="null3"/>
            </w:pPr>
            <w:r>
              <w:rPr>
                <w:rFonts w:ascii="仿宋_GB2312" w:hAnsi="仿宋_GB2312" w:cs="仿宋_GB2312" w:eastAsia="仿宋_GB2312"/>
                <w:sz w:val="21"/>
              </w:rPr>
              <w:t>（</w:t>
            </w:r>
            <w:r>
              <w:rPr>
                <w:rFonts w:ascii="仿宋_GB2312" w:hAnsi="仿宋_GB2312" w:cs="仿宋_GB2312" w:eastAsia="仿宋_GB2312"/>
                <w:sz w:val="21"/>
              </w:rPr>
              <w:t>5）查明滑坡区水文地质条件，进行水土腐蚀性评价；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6）查明滑坡体的规模、边界特征、结构特征、变形特征、危害程度和发展变化趋势；</w:t>
            </w:r>
          </w:p>
          <w:p>
            <w:pPr>
              <w:pStyle w:val="null3"/>
            </w:pPr>
            <w:r>
              <w:rPr>
                <w:rFonts w:ascii="仿宋_GB2312" w:hAnsi="仿宋_GB2312" w:cs="仿宋_GB2312" w:eastAsia="仿宋_GB2312"/>
                <w:sz w:val="21"/>
              </w:rPr>
              <w:t>（</w:t>
            </w:r>
            <w:r>
              <w:rPr>
                <w:rFonts w:ascii="仿宋_GB2312" w:hAnsi="仿宋_GB2312" w:cs="仿宋_GB2312" w:eastAsia="仿宋_GB2312"/>
                <w:sz w:val="21"/>
              </w:rPr>
              <w:t>7）综合分析滑坡发生的条件，进行滑坡稳定性评价；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8）结合当地滑坡工程防治经验，提出合理的治理方案及建议；</w:t>
            </w:r>
          </w:p>
          <w:p>
            <w:pPr>
              <w:pStyle w:val="null3"/>
            </w:pPr>
            <w:r>
              <w:rPr>
                <w:rFonts w:ascii="仿宋_GB2312" w:hAnsi="仿宋_GB2312" w:cs="仿宋_GB2312" w:eastAsia="仿宋_GB2312"/>
                <w:sz w:val="21"/>
              </w:rPr>
              <w:t>（</w:t>
            </w:r>
            <w:r>
              <w:rPr>
                <w:rFonts w:ascii="仿宋_GB2312" w:hAnsi="仿宋_GB2312" w:cs="仿宋_GB2312" w:eastAsia="仿宋_GB2312"/>
                <w:sz w:val="21"/>
              </w:rPr>
              <w:t>9）根据灾害点特征，针对当地实际情况，提出工程治理、工程设计；</w:t>
            </w:r>
          </w:p>
          <w:p>
            <w:pPr>
              <w:pStyle w:val="null3"/>
            </w:pPr>
            <w:r>
              <w:rPr>
                <w:rFonts w:ascii="仿宋_GB2312" w:hAnsi="仿宋_GB2312" w:cs="仿宋_GB2312" w:eastAsia="仿宋_GB2312"/>
                <w:sz w:val="21"/>
              </w:rPr>
              <w:t>（</w:t>
            </w:r>
            <w:r>
              <w:rPr>
                <w:rFonts w:ascii="仿宋_GB2312" w:hAnsi="仿宋_GB2312" w:cs="仿宋_GB2312" w:eastAsia="仿宋_GB2312"/>
                <w:sz w:val="21"/>
              </w:rPr>
              <w:t>10）进行治理工程费用预算。</w:t>
            </w:r>
          </w:p>
          <w:p>
            <w:pPr>
              <w:pStyle w:val="null3"/>
            </w:pPr>
            <w:r>
              <w:rPr>
                <w:rFonts w:ascii="仿宋_GB2312" w:hAnsi="仿宋_GB2312" w:cs="仿宋_GB2312" w:eastAsia="仿宋_GB2312"/>
                <w:sz w:val="21"/>
              </w:rPr>
              <w:t>四、主要技术指标</w:t>
            </w:r>
          </w:p>
          <w:p>
            <w:pPr>
              <w:pStyle w:val="null3"/>
            </w:pPr>
            <w:r>
              <w:rPr>
                <w:rFonts w:ascii="仿宋_GB2312" w:hAnsi="仿宋_GB2312" w:cs="仿宋_GB2312" w:eastAsia="仿宋_GB2312"/>
                <w:sz w:val="21"/>
              </w:rPr>
              <w:t>1、政策依据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1）《地质灾害防治条例》（国务院第 394 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2）国务院《关于加强地质灾害防治工作的决定》（国发〔2011〕20 号）；</w:t>
            </w:r>
          </w:p>
          <w:p>
            <w:pPr>
              <w:pStyle w:val="null3"/>
            </w:pPr>
            <w:r>
              <w:rPr>
                <w:rFonts w:ascii="仿宋_GB2312" w:hAnsi="仿宋_GB2312" w:cs="仿宋_GB2312" w:eastAsia="仿宋_GB2312"/>
                <w:sz w:val="21"/>
              </w:rPr>
              <w:t>（</w:t>
            </w:r>
            <w:r>
              <w:rPr>
                <w:rFonts w:ascii="仿宋_GB2312" w:hAnsi="仿宋_GB2312" w:cs="仿宋_GB2312" w:eastAsia="仿宋_GB2312"/>
                <w:sz w:val="21"/>
              </w:rPr>
              <w:t>3）《陕西省地质灾害防治条例》（陕西省政府办第十二届四十八号令）；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4） 陕西省人民政府贯彻落实《国务院关于加强地质灾害防治工作决定的实施意见》（陕政发〔2011〕59 号）。</w:t>
            </w:r>
          </w:p>
          <w:p>
            <w:pPr>
              <w:pStyle w:val="null3"/>
            </w:pPr>
            <w:r>
              <w:rPr>
                <w:rFonts w:ascii="仿宋_GB2312" w:hAnsi="仿宋_GB2312" w:cs="仿宋_GB2312" w:eastAsia="仿宋_GB2312"/>
                <w:sz w:val="21"/>
              </w:rPr>
              <w:t>2、规范依据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1）《滑坡防治工程勘査规范》（GB/T32864-2016）；</w:t>
            </w:r>
          </w:p>
          <w:p>
            <w:pPr>
              <w:pStyle w:val="null3"/>
            </w:pPr>
            <w:r>
              <w:rPr>
                <w:rFonts w:ascii="仿宋_GB2312" w:hAnsi="仿宋_GB2312" w:cs="仿宋_GB2312" w:eastAsia="仿宋_GB2312"/>
                <w:sz w:val="21"/>
              </w:rPr>
              <w:t>（</w:t>
            </w:r>
            <w:r>
              <w:rPr>
                <w:rFonts w:ascii="仿宋_GB2312" w:hAnsi="仿宋_GB2312" w:cs="仿宋_GB2312" w:eastAsia="仿宋_GB2312"/>
                <w:sz w:val="21"/>
              </w:rPr>
              <w:t>2）《建筑边坡工程技术规范》（GB50330-2013）；</w:t>
            </w:r>
          </w:p>
          <w:p>
            <w:pPr>
              <w:pStyle w:val="null3"/>
            </w:pPr>
            <w:r>
              <w:rPr>
                <w:rFonts w:ascii="仿宋_GB2312" w:hAnsi="仿宋_GB2312" w:cs="仿宋_GB2312" w:eastAsia="仿宋_GB2312"/>
                <w:sz w:val="21"/>
              </w:rPr>
              <w:t>（</w:t>
            </w:r>
            <w:r>
              <w:rPr>
                <w:rFonts w:ascii="仿宋_GB2312" w:hAnsi="仿宋_GB2312" w:cs="仿宋_GB2312" w:eastAsia="仿宋_GB2312"/>
                <w:sz w:val="21"/>
              </w:rPr>
              <w:t>3）《岩土工程勘察规范（2009 年）》(GB50021-2001)；</w:t>
            </w:r>
          </w:p>
          <w:p>
            <w:pPr>
              <w:pStyle w:val="null3"/>
            </w:pPr>
            <w:r>
              <w:rPr>
                <w:rFonts w:ascii="仿宋_GB2312" w:hAnsi="仿宋_GB2312" w:cs="仿宋_GB2312" w:eastAsia="仿宋_GB2312"/>
                <w:sz w:val="21"/>
              </w:rPr>
              <w:t>（</w:t>
            </w:r>
            <w:r>
              <w:rPr>
                <w:rFonts w:ascii="仿宋_GB2312" w:hAnsi="仿宋_GB2312" w:cs="仿宋_GB2312" w:eastAsia="仿宋_GB2312"/>
                <w:sz w:val="21"/>
              </w:rPr>
              <w:t>4）《工程测量标准》（GB50026-2020）；</w:t>
            </w:r>
          </w:p>
          <w:p>
            <w:pPr>
              <w:pStyle w:val="null3"/>
            </w:pPr>
            <w:r>
              <w:rPr>
                <w:rFonts w:ascii="仿宋_GB2312" w:hAnsi="仿宋_GB2312" w:cs="仿宋_GB2312" w:eastAsia="仿宋_GB2312"/>
                <w:sz w:val="21"/>
              </w:rPr>
              <w:t>（</w:t>
            </w:r>
            <w:r>
              <w:rPr>
                <w:rFonts w:ascii="仿宋_GB2312" w:hAnsi="仿宋_GB2312" w:cs="仿宋_GB2312" w:eastAsia="仿宋_GB2312"/>
                <w:sz w:val="21"/>
              </w:rPr>
              <w:t>5）《国家基本比例尺地图图式》（GB/T 20257.1-2017）；</w:t>
            </w:r>
          </w:p>
          <w:p>
            <w:pPr>
              <w:pStyle w:val="null3"/>
            </w:pPr>
            <w:r>
              <w:rPr>
                <w:rFonts w:ascii="仿宋_GB2312" w:hAnsi="仿宋_GB2312" w:cs="仿宋_GB2312" w:eastAsia="仿宋_GB2312"/>
                <w:sz w:val="21"/>
              </w:rPr>
              <w:t>（</w:t>
            </w:r>
            <w:r>
              <w:rPr>
                <w:rFonts w:ascii="仿宋_GB2312" w:hAnsi="仿宋_GB2312" w:cs="仿宋_GB2312" w:eastAsia="仿宋_GB2312"/>
                <w:sz w:val="21"/>
              </w:rPr>
              <w:t>6）《建筑抗震设计规范（2016 年）》（GB 50011-2010）；</w:t>
            </w:r>
          </w:p>
          <w:p>
            <w:pPr>
              <w:pStyle w:val="null3"/>
            </w:pPr>
            <w:r>
              <w:rPr>
                <w:rFonts w:ascii="仿宋_GB2312" w:hAnsi="仿宋_GB2312" w:cs="仿宋_GB2312" w:eastAsia="仿宋_GB2312"/>
                <w:sz w:val="21"/>
              </w:rPr>
              <w:t>（</w:t>
            </w:r>
            <w:r>
              <w:rPr>
                <w:rFonts w:ascii="仿宋_GB2312" w:hAnsi="仿宋_GB2312" w:cs="仿宋_GB2312" w:eastAsia="仿宋_GB2312"/>
                <w:sz w:val="21"/>
              </w:rPr>
              <w:t>7）《中国地震动参数区划图》(GB18306-2015)；</w:t>
            </w:r>
          </w:p>
          <w:p>
            <w:pPr>
              <w:pStyle w:val="null3"/>
            </w:pPr>
            <w:r>
              <w:rPr>
                <w:rFonts w:ascii="仿宋_GB2312" w:hAnsi="仿宋_GB2312" w:cs="仿宋_GB2312" w:eastAsia="仿宋_GB2312"/>
                <w:sz w:val="21"/>
              </w:rPr>
              <w:t>（</w:t>
            </w:r>
            <w:r>
              <w:rPr>
                <w:rFonts w:ascii="仿宋_GB2312" w:hAnsi="仿宋_GB2312" w:cs="仿宋_GB2312" w:eastAsia="仿宋_GB2312"/>
                <w:sz w:val="21"/>
              </w:rPr>
              <w:t>8）《土工试验方法标准》（GB/T50123-2019）；</w:t>
            </w:r>
          </w:p>
          <w:p>
            <w:pPr>
              <w:pStyle w:val="null3"/>
            </w:pPr>
            <w:r>
              <w:rPr>
                <w:rFonts w:ascii="仿宋_GB2312" w:hAnsi="仿宋_GB2312" w:cs="仿宋_GB2312" w:eastAsia="仿宋_GB2312"/>
                <w:sz w:val="21"/>
              </w:rPr>
              <w:t>（</w:t>
            </w:r>
            <w:r>
              <w:rPr>
                <w:rFonts w:ascii="仿宋_GB2312" w:hAnsi="仿宋_GB2312" w:cs="仿宋_GB2312" w:eastAsia="仿宋_GB2312"/>
                <w:sz w:val="21"/>
              </w:rPr>
              <w:t>9）《土的工程分类标准》(GB/T 50145-2007)；</w:t>
            </w:r>
          </w:p>
          <w:p>
            <w:pPr>
              <w:pStyle w:val="null3"/>
            </w:pPr>
            <w:r>
              <w:rPr>
                <w:rFonts w:ascii="仿宋_GB2312" w:hAnsi="仿宋_GB2312" w:cs="仿宋_GB2312" w:eastAsia="仿宋_GB2312"/>
                <w:sz w:val="21"/>
              </w:rPr>
              <w:t>（</w:t>
            </w:r>
            <w:r>
              <w:rPr>
                <w:rFonts w:ascii="仿宋_GB2312" w:hAnsi="仿宋_GB2312" w:cs="仿宋_GB2312" w:eastAsia="仿宋_GB2312"/>
                <w:sz w:val="21"/>
              </w:rPr>
              <w:t>10）《地质灾害灾情调查评估指南》（T/CAGHP024-2018）；</w:t>
            </w:r>
          </w:p>
          <w:p>
            <w:pPr>
              <w:pStyle w:val="null3"/>
            </w:pPr>
            <w:r>
              <w:rPr>
                <w:rFonts w:ascii="仿宋_GB2312" w:hAnsi="仿宋_GB2312" w:cs="仿宋_GB2312" w:eastAsia="仿宋_GB2312"/>
                <w:sz w:val="21"/>
              </w:rPr>
              <w:t>（</w:t>
            </w:r>
            <w:r>
              <w:rPr>
                <w:rFonts w:ascii="仿宋_GB2312" w:hAnsi="仿宋_GB2312" w:cs="仿宋_GB2312" w:eastAsia="仿宋_GB2312"/>
                <w:sz w:val="21"/>
              </w:rPr>
              <w:t>11）《地质灾害分类分级标准》（T/CAGHP001-2018）；</w:t>
            </w:r>
          </w:p>
          <w:p>
            <w:pPr>
              <w:pStyle w:val="null3"/>
            </w:pPr>
            <w:r>
              <w:rPr>
                <w:rFonts w:ascii="仿宋_GB2312" w:hAnsi="仿宋_GB2312" w:cs="仿宋_GB2312" w:eastAsia="仿宋_GB2312"/>
                <w:sz w:val="21"/>
              </w:rPr>
              <w:t>（</w:t>
            </w:r>
            <w:r>
              <w:rPr>
                <w:rFonts w:ascii="仿宋_GB2312" w:hAnsi="仿宋_GB2312" w:cs="仿宋_GB2312" w:eastAsia="仿宋_GB2312"/>
                <w:sz w:val="21"/>
              </w:rPr>
              <w:t>12）《湿陷性黄土地区边坡工程勘察规范》（DBJ 61/T 192-2021）；</w:t>
            </w:r>
          </w:p>
          <w:p>
            <w:pPr>
              <w:pStyle w:val="null3"/>
            </w:pPr>
            <w:r>
              <w:rPr>
                <w:rFonts w:ascii="仿宋_GB2312" w:hAnsi="仿宋_GB2312" w:cs="仿宋_GB2312" w:eastAsia="仿宋_GB2312"/>
                <w:sz w:val="21"/>
              </w:rPr>
              <w:t>（</w:t>
            </w:r>
            <w:r>
              <w:rPr>
                <w:rFonts w:ascii="仿宋_GB2312" w:hAnsi="仿宋_GB2312" w:cs="仿宋_GB2312" w:eastAsia="仿宋_GB2312"/>
                <w:sz w:val="21"/>
              </w:rPr>
              <w:t>13）《坡面防护工程设计规范（试行）》（T∕CAGHP 027-2018）；</w:t>
            </w:r>
          </w:p>
          <w:p>
            <w:pPr>
              <w:pStyle w:val="null3"/>
            </w:pPr>
            <w:r>
              <w:rPr>
                <w:rFonts w:ascii="仿宋_GB2312" w:hAnsi="仿宋_GB2312" w:cs="仿宋_GB2312" w:eastAsia="仿宋_GB2312"/>
                <w:sz w:val="21"/>
              </w:rPr>
              <w:t>（</w:t>
            </w:r>
            <w:r>
              <w:rPr>
                <w:rFonts w:ascii="仿宋_GB2312" w:hAnsi="仿宋_GB2312" w:cs="仿宋_GB2312" w:eastAsia="仿宋_GB2312"/>
                <w:sz w:val="21"/>
              </w:rPr>
              <w:t>14）《陕西省水利工程设计概（估）算编制规定》（陕发改项目[2017]1606号）。</w:t>
            </w:r>
          </w:p>
          <w:p>
            <w:pPr>
              <w:pStyle w:val="null3"/>
            </w:pPr>
            <w:r>
              <w:rPr>
                <w:rFonts w:ascii="仿宋_GB2312" w:hAnsi="仿宋_GB2312" w:cs="仿宋_GB2312" w:eastAsia="仿宋_GB2312"/>
                <w:sz w:val="21"/>
              </w:rPr>
              <w:t>3、资料依据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1）《工程地质手册》，第五版；</w:t>
            </w:r>
          </w:p>
          <w:p>
            <w:pPr>
              <w:pStyle w:val="null3"/>
            </w:pPr>
            <w:r>
              <w:rPr>
                <w:rFonts w:ascii="仿宋_GB2312" w:hAnsi="仿宋_GB2312" w:cs="仿宋_GB2312" w:eastAsia="仿宋_GB2312"/>
                <w:sz w:val="21"/>
              </w:rPr>
              <w:t>（</w:t>
            </w:r>
            <w:r>
              <w:rPr>
                <w:rFonts w:ascii="仿宋_GB2312" w:hAnsi="仿宋_GB2312" w:cs="仿宋_GB2312" w:eastAsia="仿宋_GB2312"/>
                <w:sz w:val="21"/>
              </w:rPr>
              <w:t>2）《陕西省西安市长安区地质灾害详细调查（1:5 万）》2016年；</w:t>
            </w:r>
          </w:p>
          <w:p>
            <w:pPr>
              <w:pStyle w:val="null3"/>
            </w:pPr>
            <w:r>
              <w:rPr>
                <w:rFonts w:ascii="仿宋_GB2312" w:hAnsi="仿宋_GB2312" w:cs="仿宋_GB2312" w:eastAsia="仿宋_GB2312"/>
                <w:sz w:val="21"/>
              </w:rPr>
              <w:t>（</w:t>
            </w:r>
            <w:r>
              <w:rPr>
                <w:rFonts w:ascii="仿宋_GB2312" w:hAnsi="仿宋_GB2312" w:cs="仿宋_GB2312" w:eastAsia="仿宋_GB2312"/>
                <w:sz w:val="21"/>
              </w:rPr>
              <w:t>3）《西安市长安区地质灾害风险调查评价（1:5 万）》2021年；</w:t>
            </w:r>
          </w:p>
          <w:p>
            <w:pPr>
              <w:pStyle w:val="null3"/>
            </w:pPr>
            <w:r>
              <w:rPr>
                <w:rFonts w:ascii="仿宋_GB2312" w:hAnsi="仿宋_GB2312" w:cs="仿宋_GB2312" w:eastAsia="仿宋_GB2312"/>
                <w:sz w:val="21"/>
              </w:rPr>
              <w:t>（</w:t>
            </w:r>
            <w:r>
              <w:rPr>
                <w:rFonts w:ascii="仿宋_GB2312" w:hAnsi="仿宋_GB2312" w:cs="仿宋_GB2312" w:eastAsia="仿宋_GB2312"/>
                <w:sz w:val="21"/>
              </w:rPr>
              <w:t>4）《陕西省西安市长安区地质灾害防治“十四五”规划），2022年。</w:t>
            </w:r>
          </w:p>
          <w:p>
            <w:pPr>
              <w:pStyle w:val="null3"/>
            </w:pPr>
            <w:r>
              <w:rPr>
                <w:rFonts w:ascii="仿宋_GB2312" w:hAnsi="仿宋_GB2312" w:cs="仿宋_GB2312" w:eastAsia="仿宋_GB2312"/>
                <w:sz w:val="21"/>
              </w:rPr>
              <w:t>五、野外勘查工作</w:t>
            </w:r>
          </w:p>
          <w:p>
            <w:pPr>
              <w:pStyle w:val="null3"/>
            </w:pPr>
            <w:r>
              <w:rPr>
                <w:rFonts w:ascii="仿宋_GB2312" w:hAnsi="仿宋_GB2312" w:cs="仿宋_GB2312" w:eastAsia="仿宋_GB2312"/>
                <w:sz w:val="21"/>
              </w:rPr>
              <w:t>（</w:t>
            </w:r>
            <w:r>
              <w:rPr>
                <w:rFonts w:ascii="仿宋_GB2312" w:hAnsi="仿宋_GB2312" w:cs="仿宋_GB2312" w:eastAsia="仿宋_GB2312"/>
                <w:sz w:val="21"/>
              </w:rPr>
              <w:t>1）根据野外踏勘，按规范要求综合考虑灾害点规模、威胁对象及周围道路边坡问题，确定本次勘查范围；</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 GPS-RTK 及 DJI大疆无人机对滑坡区域及周边的地形进行测量，地形图测量精度为1:500。得到勘查区域内准确的地形地貌以及微地貌现状，为后续设计提供详实的基础资料；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采用RTK结合工程地质调查，对主要地段进行1：200工程地质剖面测绘，查明勘查区的地层岩性、地质构造及微地貌特征，重点调查滑坡变形破坏特征及要素，对主要滑坡的变形、坡体地形进行测绘，分析其规模、成因、性质，实测工程地质剖面；</w:t>
            </w:r>
          </w:p>
          <w:p>
            <w:pPr>
              <w:pStyle w:val="null3"/>
            </w:pPr>
            <w:r>
              <w:rPr>
                <w:rFonts w:ascii="仿宋_GB2312" w:hAnsi="仿宋_GB2312" w:cs="仿宋_GB2312" w:eastAsia="仿宋_GB2312"/>
                <w:sz w:val="21"/>
              </w:rPr>
              <w:t>（</w:t>
            </w:r>
            <w:r>
              <w:rPr>
                <w:rFonts w:ascii="仿宋_GB2312" w:hAnsi="仿宋_GB2312" w:cs="仿宋_GB2312" w:eastAsia="仿宋_GB2312"/>
                <w:sz w:val="21"/>
              </w:rPr>
              <w:t>4）在勘查范围内以揭露滑坡体底部滑动面及勘查区地层为目的进行探井探槽取样；探井为直径约 0.8m 的小圆井，采用人工开挖，主要揭露滑坡体范围及滑坡变形迹象；</w:t>
            </w:r>
          </w:p>
          <w:p>
            <w:pPr>
              <w:pStyle w:val="null3"/>
            </w:pPr>
            <w:r>
              <w:rPr>
                <w:rFonts w:ascii="仿宋_GB2312" w:hAnsi="仿宋_GB2312" w:cs="仿宋_GB2312" w:eastAsia="仿宋_GB2312"/>
                <w:sz w:val="21"/>
              </w:rPr>
              <w:t>（</w:t>
            </w:r>
            <w:r>
              <w:rPr>
                <w:rFonts w:ascii="仿宋_GB2312" w:hAnsi="仿宋_GB2312" w:cs="仿宋_GB2312" w:eastAsia="仿宋_GB2312"/>
                <w:sz w:val="21"/>
              </w:rPr>
              <w:t>5）委托有资质的试验室进行土工试验检测，土样测试项目包括天然含水率、密度、干密度、比重、液限、塑限、滑坡土体的抗剪强度指标、自由膨胀率等。</w:t>
            </w:r>
          </w:p>
          <w:p>
            <w:pPr>
              <w:pStyle w:val="null3"/>
            </w:pPr>
            <w:r>
              <w:rPr>
                <w:rFonts w:ascii="仿宋_GB2312" w:hAnsi="仿宋_GB2312" w:cs="仿宋_GB2312" w:eastAsia="仿宋_GB2312"/>
                <w:sz w:val="21"/>
              </w:rPr>
              <w:t>六、提交成果内容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长安区王莽街道韦一村崩塌治理工程</w:t>
            </w:r>
            <w:r>
              <w:rPr>
                <w:rFonts w:ascii="仿宋_GB2312" w:hAnsi="仿宋_GB2312" w:cs="仿宋_GB2312" w:eastAsia="仿宋_GB2312"/>
                <w:sz w:val="21"/>
              </w:rPr>
              <w:t>勘查、设计报告；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长安区王莽街道韦一村崩塌治理工程</w:t>
            </w:r>
            <w:r>
              <w:rPr>
                <w:rFonts w:ascii="仿宋_GB2312" w:hAnsi="仿宋_GB2312" w:cs="仿宋_GB2312" w:eastAsia="仿宋_GB2312"/>
                <w:sz w:val="21"/>
              </w:rPr>
              <w:t>勘查、设计相关图件；</w:t>
            </w:r>
          </w:p>
          <w:p>
            <w:pPr>
              <w:pStyle w:val="null3"/>
            </w:pPr>
            <w:r>
              <w:rPr>
                <w:rFonts w:ascii="仿宋_GB2312" w:hAnsi="仿宋_GB2312" w:cs="仿宋_GB2312" w:eastAsia="仿宋_GB2312"/>
                <w:sz w:val="21"/>
              </w:rPr>
              <w:t>（</w:t>
            </w:r>
            <w:r>
              <w:rPr>
                <w:rFonts w:ascii="仿宋_GB2312" w:hAnsi="仿宋_GB2312" w:cs="仿宋_GB2312" w:eastAsia="仿宋_GB2312"/>
                <w:sz w:val="21"/>
              </w:rPr>
              <w:t>3）取得最终专家评审后的“</w:t>
            </w:r>
            <w:r>
              <w:rPr>
                <w:rFonts w:ascii="仿宋_GB2312" w:hAnsi="仿宋_GB2312" w:cs="仿宋_GB2312" w:eastAsia="仿宋_GB2312"/>
                <w:sz w:val="21"/>
              </w:rPr>
              <w:t>长安区王莽街道韦一村崩塌治理工程</w:t>
            </w:r>
            <w:r>
              <w:rPr>
                <w:rFonts w:ascii="仿宋_GB2312" w:hAnsi="仿宋_GB2312" w:cs="仿宋_GB2312" w:eastAsia="仿宋_GB2312"/>
                <w:sz w:val="21"/>
              </w:rPr>
              <w:t>勘查、设计报告</w:t>
            </w:r>
            <w:r>
              <w:rPr>
                <w:rFonts w:ascii="仿宋_GB2312" w:hAnsi="仿宋_GB2312" w:cs="仿宋_GB2312" w:eastAsia="仿宋_GB2312"/>
                <w:sz w:val="21"/>
              </w:rPr>
              <w:t>”专家组意见。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2、具有良好的商业信誉和健全的财务会计制度（提供2024或2025年度财务审计报告或开标前6个月内银行资信证明或财政部门认可的政府采购专业担保机构出具的投标担保函）；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供应商须具有地质灾害评估和治理工程勘查设计乙级及以上资质。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标的清单 供应商拒绝政府采购领域商业贿赂承诺书.docx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有效期按磋商文件要求响应</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勘查工作方案完整性</w:t>
            </w:r>
          </w:p>
        </w:tc>
        <w:tc>
          <w:tcPr>
            <w:tcW w:type="dxa" w:w="2492"/>
          </w:tcPr>
          <w:p>
            <w:pPr>
              <w:pStyle w:val="null3"/>
            </w:pPr>
            <w:r>
              <w:rPr>
                <w:rFonts w:ascii="仿宋_GB2312" w:hAnsi="仿宋_GB2312" w:cs="仿宋_GB2312" w:eastAsia="仿宋_GB2312"/>
              </w:rPr>
              <w:t>勘查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设计工作方案完整性</w:t>
            </w:r>
          </w:p>
        </w:tc>
        <w:tc>
          <w:tcPr>
            <w:tcW w:type="dxa" w:w="2492"/>
          </w:tcPr>
          <w:p>
            <w:pPr>
              <w:pStyle w:val="null3"/>
            </w:pPr>
            <w:r>
              <w:rPr>
                <w:rFonts w:ascii="仿宋_GB2312" w:hAnsi="仿宋_GB2312" w:cs="仿宋_GB2312" w:eastAsia="仿宋_GB2312"/>
              </w:rPr>
              <w:t>设计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勘查工作方案清晰程度</w:t>
            </w:r>
          </w:p>
        </w:tc>
        <w:tc>
          <w:tcPr>
            <w:tcW w:type="dxa" w:w="2492"/>
          </w:tcPr>
          <w:p>
            <w:pPr>
              <w:pStyle w:val="null3"/>
            </w:pPr>
            <w:r>
              <w:rPr>
                <w:rFonts w:ascii="仿宋_GB2312" w:hAnsi="仿宋_GB2312" w:cs="仿宋_GB2312" w:eastAsia="仿宋_GB2312"/>
              </w:rPr>
              <w:t>勘查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设计工作方案清晰程度</w:t>
            </w:r>
          </w:p>
        </w:tc>
        <w:tc>
          <w:tcPr>
            <w:tcW w:type="dxa" w:w="2492"/>
          </w:tcPr>
          <w:p>
            <w:pPr>
              <w:pStyle w:val="null3"/>
            </w:pPr>
            <w:r>
              <w:rPr>
                <w:rFonts w:ascii="仿宋_GB2312" w:hAnsi="仿宋_GB2312" w:cs="仿宋_GB2312" w:eastAsia="仿宋_GB2312"/>
              </w:rPr>
              <w:t>设计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现状解析</w:t>
            </w:r>
          </w:p>
        </w:tc>
        <w:tc>
          <w:tcPr>
            <w:tcW w:type="dxa" w:w="2492"/>
          </w:tcPr>
          <w:p>
            <w:pPr>
              <w:pStyle w:val="null3"/>
            </w:pPr>
            <w:r>
              <w:rPr>
                <w:rFonts w:ascii="仿宋_GB2312" w:hAnsi="仿宋_GB2312" w:cs="仿宋_GB2312" w:eastAsia="仿宋_GB2312"/>
              </w:rPr>
              <w:t>针对主要内容（勘查与设计）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提升策略</w:t>
            </w:r>
          </w:p>
        </w:tc>
        <w:tc>
          <w:tcPr>
            <w:tcW w:type="dxa" w:w="2492"/>
          </w:tcPr>
          <w:p>
            <w:pPr>
              <w:pStyle w:val="null3"/>
            </w:pPr>
            <w:r>
              <w:rPr>
                <w:rFonts w:ascii="仿宋_GB2312" w:hAnsi="仿宋_GB2312" w:cs="仿宋_GB2312" w:eastAsia="仿宋_GB2312"/>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不符合项目实际情况、解决方案实施困难，解决方案与重难点分析脱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项目负责人具备地质工程或水文地质或岩土工程等相关专业学历，研究生及以上学历的得5分；本科学历的得3分。 项目负责人具备水工环高级职称的得5分，中级职称的得3分，缺项或专业不符不得分。（提供人员有效证书复印件及开标时间前6个月内任意一个月在本单位的社保证明，加盖公章）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质量保证体系</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不够、可行性不够、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根据各供应商提供的2023年1月1日至今同类项目业绩合同，时间以合同签订的日期为准，每一个有效业绩得2分。满分10分。（合同复印件加盖公章附在响应文件中，否则不做为评审依据）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磋商报价得分=（评审基准价/磋商报价）×评审分值×100。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