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版本号：SZT2026-SN-QC-ZC-FW-003120260113001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长安区王曲街道王曲村六、七崩塌治理工程勘察设计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SZT2026-SN-QC-ZC-FW-0031</w:t>
      </w:r>
      <w:r>
        <w:br/>
      </w:r>
      <w:r>
        <w:br/>
      </w:r>
      <w:r>
        <w:br/>
      </w:r>
    </w:p>
    <w:p>
      <w:pPr>
        <w:pStyle w:val="null3"/>
        <w:jc w:val="center"/>
        <w:outlineLvl w:val="2"/>
      </w:pPr>
      <w:r>
        <w:rPr>
          <w:rFonts w:ascii="仿宋_GB2312" w:hAnsi="仿宋_GB2312" w:cs="仿宋_GB2312" w:eastAsia="仿宋_GB2312"/>
          <w:sz w:val="28"/>
          <w:b/>
        </w:rPr>
        <w:t>西安市自然资源和规划局长安分局矿产资源管理站</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委托，拟对</w:t>
      </w:r>
      <w:r>
        <w:rPr>
          <w:rFonts w:ascii="仿宋_GB2312" w:hAnsi="仿宋_GB2312" w:cs="仿宋_GB2312" w:eastAsia="仿宋_GB2312"/>
        </w:rPr>
        <w:t>长安区王曲街道王曲村六、七崩塌治理工程勘察设计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SZT2026-SN-QC-ZC-FW-0031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长安区王曲街道王曲村六、七崩塌治理工程勘察设计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本项目为长安区王曲街道王曲村六、七组崩塌治理工程的勘察设计。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采购包1（长安区王曲街道王曲村六、七崩塌治理工程勘察设计）：属于专门面向中小企业采购。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1、供应商要求：供应商须具有地质灾害评估和治理工程勘查设计乙级及以上资质。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西安市自然资源和规划局长安分局矿产资源管理站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长安区西长安街79号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西安市自然资源和规划局长安分局矿产资源管理站经办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029-85295468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李毓菲、杨艳、李娜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采购包1：405,900.00元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供应商承担，成交供应商在领取成交通知书时向采购代理机构支付招标代理服务费。招标代理服务费的收取按照国家计委颁布的《招标代理服务收费管理暂行办法》（计价格[2002]1980号）和（发改办价格[2003]857号）中服务类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本项目为长安区王曲街道王曲村六、七组崩塌治理工程的勘察设计。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405,900.00</w:t>
      </w:r>
    </w:p>
    <w:p>
      <w:pPr>
        <w:pStyle w:val="null3"/>
      </w:pPr>
      <w:r>
        <w:rPr>
          <w:rFonts w:ascii="仿宋_GB2312" w:hAnsi="仿宋_GB2312" w:cs="仿宋_GB2312" w:eastAsia="仿宋_GB2312"/>
        </w:rPr>
        <w:t>采购包最高限价（元）: 405,900.00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崩塌治理工程勘察设计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405,900.00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标的名称：崩塌治理工程勘察设计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一、项目概况</w:t>
            </w:r>
          </w:p>
          <w:p>
            <w:pPr>
              <w:pStyle w:val="null3"/>
            </w:pPr>
            <w:r>
              <w:rPr>
                <w:rFonts w:ascii="仿宋_GB2312" w:hAnsi="仿宋_GB2312" w:cs="仿宋_GB2312" w:eastAsia="仿宋_GB2312"/>
                <w:sz w:val="21"/>
              </w:rPr>
              <w:t>长安区王曲街道王曲村六、七组崩塌位于长安区王曲街道王曲村东部，地貌单元属黄土台塬地区，崩塌体平面呈近似</w:t>
            </w:r>
            <w:r>
              <w:rPr>
                <w:rFonts w:ascii="仿宋_GB2312" w:hAnsi="仿宋_GB2312" w:cs="仿宋_GB2312" w:eastAsia="仿宋_GB2312"/>
                <w:sz w:val="21"/>
              </w:rPr>
              <w:t>"南-北"向分布，平面形态呈弧形，宽约200m，长约25m，不稳定土体厚度约3m，体积约1.5*104m</w:t>
            </w:r>
            <w:r>
              <w:rPr>
                <w:rFonts w:ascii="仿宋_GB2312" w:hAnsi="仿宋_GB2312" w:cs="仿宋_GB2312" w:eastAsia="仿宋_GB2312"/>
                <w:sz w:val="21"/>
                <w:vertAlign w:val="superscript"/>
              </w:rPr>
              <w:t>3</w:t>
            </w:r>
            <w:r>
              <w:rPr>
                <w:rFonts w:ascii="仿宋_GB2312" w:hAnsi="仿宋_GB2312" w:cs="仿宋_GB2312" w:eastAsia="仿宋_GB2312"/>
                <w:sz w:val="21"/>
              </w:rPr>
              <w:t>，属中型黄土崩塌。近年来，每遇强降雨或持续性降雨，边坡均发育有不同程度的变形破坏迹象，现场调查发现，该边坡坡肩处发育有宏观的弧形拉张裂缝，裂缝宽度</w:t>
            </w:r>
            <w:r>
              <w:rPr>
                <w:rFonts w:ascii="仿宋_GB2312" w:hAnsi="仿宋_GB2312" w:cs="仿宋_GB2312" w:eastAsia="仿宋_GB2312"/>
                <w:sz w:val="21"/>
              </w:rPr>
              <w:t>5-10cm，南北向展布，长约30m。</w:t>
            </w:r>
          </w:p>
          <w:p>
            <w:pPr>
              <w:pStyle w:val="null3"/>
            </w:pPr>
            <w:r>
              <w:rPr>
                <w:rFonts w:ascii="仿宋_GB2312" w:hAnsi="仿宋_GB2312" w:cs="仿宋_GB2312" w:eastAsia="仿宋_GB2312"/>
                <w:sz w:val="21"/>
              </w:rPr>
              <w:t>二、项目目的</w:t>
            </w:r>
          </w:p>
          <w:p>
            <w:pPr>
              <w:pStyle w:val="null3"/>
            </w:pPr>
            <w:r>
              <w:rPr>
                <w:rFonts w:ascii="仿宋_GB2312" w:hAnsi="仿宋_GB2312" w:cs="仿宋_GB2312" w:eastAsia="仿宋_GB2312"/>
                <w:sz w:val="21"/>
              </w:rPr>
              <w:t>按照《地质灾害防治工程勘查规程》</w:t>
            </w:r>
            <w:r>
              <w:rPr>
                <w:rFonts w:ascii="仿宋_GB2312" w:hAnsi="仿宋_GB2312" w:cs="仿宋_GB2312" w:eastAsia="仿宋_GB2312"/>
                <w:sz w:val="21"/>
              </w:rPr>
              <w:t>(DBJ61/T181-2021)等技术标准，查明滑坡的空间形态特征，查明滑坡所处的地质环境背景、工程地质条件、水文地质条件，坡体的地层结构特征，坡体各层岩土体力学性质指标，分析坡体的稳定性，为滑坡防治提供依据并提出相应的治理建议。在工程勘察报告的基础上研究治理工程设计，同时为治理工程施工提供工作基础，从而通过治理工程的实施，确保居民的生命财产安全。</w:t>
            </w:r>
          </w:p>
          <w:p>
            <w:pPr>
              <w:pStyle w:val="null3"/>
            </w:pPr>
            <w:r>
              <w:rPr>
                <w:rFonts w:ascii="仿宋_GB2312" w:hAnsi="仿宋_GB2312" w:cs="仿宋_GB2312" w:eastAsia="仿宋_GB2312"/>
                <w:sz w:val="21"/>
              </w:rPr>
              <w:t>三、项目任务</w:t>
            </w:r>
          </w:p>
          <w:p>
            <w:pPr>
              <w:pStyle w:val="null3"/>
            </w:pPr>
            <w:r>
              <w:rPr>
                <w:rFonts w:ascii="仿宋_GB2312" w:hAnsi="仿宋_GB2312" w:cs="仿宋_GB2312" w:eastAsia="仿宋_GB2312"/>
                <w:sz w:val="21"/>
              </w:rPr>
              <w:t>（</w:t>
            </w:r>
            <w:r>
              <w:rPr>
                <w:rFonts w:ascii="仿宋_GB2312" w:hAnsi="仿宋_GB2312" w:cs="仿宋_GB2312" w:eastAsia="仿宋_GB2312"/>
                <w:sz w:val="21"/>
              </w:rPr>
              <w:t>1）收集勘查区环境地质、水文地质、工程地质、气象、地震及人类工程活动资料，分析滑坡形成的自然地质背景条件；</w:t>
            </w:r>
          </w:p>
          <w:p>
            <w:pPr>
              <w:pStyle w:val="null3"/>
            </w:pPr>
            <w:r>
              <w:rPr>
                <w:rFonts w:ascii="仿宋_GB2312" w:hAnsi="仿宋_GB2312" w:cs="仿宋_GB2312" w:eastAsia="仿宋_GB2312"/>
                <w:sz w:val="21"/>
              </w:rPr>
              <w:t>（</w:t>
            </w:r>
            <w:r>
              <w:rPr>
                <w:rFonts w:ascii="仿宋_GB2312" w:hAnsi="仿宋_GB2312" w:cs="仿宋_GB2312" w:eastAsia="仿宋_GB2312"/>
                <w:sz w:val="21"/>
              </w:rPr>
              <w:t>2）对滑坡区进行1:500地形图测绘和1:200剖面测绘，为滑坡的工程治理可行性研究提供基础测量资料；</w:t>
            </w:r>
          </w:p>
          <w:p>
            <w:pPr>
              <w:pStyle w:val="null3"/>
            </w:pPr>
            <w:r>
              <w:rPr>
                <w:rFonts w:ascii="仿宋_GB2312" w:hAnsi="仿宋_GB2312" w:cs="仿宋_GB2312" w:eastAsia="仿宋_GB2312"/>
                <w:sz w:val="21"/>
              </w:rPr>
              <w:t>（</w:t>
            </w:r>
            <w:r>
              <w:rPr>
                <w:rFonts w:ascii="仿宋_GB2312" w:hAnsi="仿宋_GB2312" w:cs="仿宋_GB2312" w:eastAsia="仿宋_GB2312"/>
                <w:sz w:val="21"/>
              </w:rPr>
              <w:t>3）开展1:500环境地质调查，查明勘查区滑坡灾害的地形地貌、地质构造特征等地质环境条件；</w:t>
            </w:r>
          </w:p>
          <w:p>
            <w:pPr>
              <w:pStyle w:val="null3"/>
            </w:pPr>
            <w:r>
              <w:rPr>
                <w:rFonts w:ascii="仿宋_GB2312" w:hAnsi="仿宋_GB2312" w:cs="仿宋_GB2312" w:eastAsia="仿宋_GB2312"/>
                <w:sz w:val="21"/>
              </w:rPr>
              <w:t>（</w:t>
            </w:r>
            <w:r>
              <w:rPr>
                <w:rFonts w:ascii="仿宋_GB2312" w:hAnsi="仿宋_GB2312" w:cs="仿宋_GB2312" w:eastAsia="仿宋_GB2312"/>
                <w:sz w:val="21"/>
              </w:rPr>
              <w:t>4）查明滑坡区工程地质条件，提供所需的岩土体物理力学参数；</w:t>
            </w:r>
          </w:p>
          <w:p>
            <w:pPr>
              <w:pStyle w:val="null3"/>
            </w:pPr>
            <w:r>
              <w:rPr>
                <w:rFonts w:ascii="仿宋_GB2312" w:hAnsi="仿宋_GB2312" w:cs="仿宋_GB2312" w:eastAsia="仿宋_GB2312"/>
                <w:sz w:val="21"/>
              </w:rPr>
              <w:t>（</w:t>
            </w:r>
            <w:r>
              <w:rPr>
                <w:rFonts w:ascii="仿宋_GB2312" w:hAnsi="仿宋_GB2312" w:cs="仿宋_GB2312" w:eastAsia="仿宋_GB2312"/>
                <w:sz w:val="21"/>
              </w:rPr>
              <w:t>5）查明滑坡区水文地质条件，进行水土腐蚀性评价；</w:t>
            </w:r>
          </w:p>
          <w:p>
            <w:pPr>
              <w:pStyle w:val="null3"/>
            </w:pPr>
            <w:r>
              <w:rPr>
                <w:rFonts w:ascii="仿宋_GB2312" w:hAnsi="仿宋_GB2312" w:cs="仿宋_GB2312" w:eastAsia="仿宋_GB2312"/>
                <w:sz w:val="21"/>
              </w:rPr>
              <w:t>（</w:t>
            </w:r>
            <w:r>
              <w:rPr>
                <w:rFonts w:ascii="仿宋_GB2312" w:hAnsi="仿宋_GB2312" w:cs="仿宋_GB2312" w:eastAsia="仿宋_GB2312"/>
                <w:sz w:val="21"/>
              </w:rPr>
              <w:t>6）查明滑坡体的规模、边界特征、结构特征、变形特征、危害程度和发展变化趋势；</w:t>
            </w:r>
          </w:p>
          <w:p>
            <w:pPr>
              <w:pStyle w:val="null3"/>
            </w:pPr>
            <w:r>
              <w:rPr>
                <w:rFonts w:ascii="仿宋_GB2312" w:hAnsi="仿宋_GB2312" w:cs="仿宋_GB2312" w:eastAsia="仿宋_GB2312"/>
                <w:sz w:val="21"/>
              </w:rPr>
              <w:t>（</w:t>
            </w:r>
            <w:r>
              <w:rPr>
                <w:rFonts w:ascii="仿宋_GB2312" w:hAnsi="仿宋_GB2312" w:cs="仿宋_GB2312" w:eastAsia="仿宋_GB2312"/>
                <w:sz w:val="21"/>
              </w:rPr>
              <w:t>7）综合分析滑坡发生的条件，进行滑坡稳定性评价；</w:t>
            </w:r>
          </w:p>
          <w:p>
            <w:pPr>
              <w:pStyle w:val="null3"/>
            </w:pPr>
            <w:r>
              <w:rPr>
                <w:rFonts w:ascii="仿宋_GB2312" w:hAnsi="仿宋_GB2312" w:cs="仿宋_GB2312" w:eastAsia="仿宋_GB2312"/>
                <w:sz w:val="21"/>
              </w:rPr>
              <w:t>（</w:t>
            </w:r>
            <w:r>
              <w:rPr>
                <w:rFonts w:ascii="仿宋_GB2312" w:hAnsi="仿宋_GB2312" w:cs="仿宋_GB2312" w:eastAsia="仿宋_GB2312"/>
                <w:sz w:val="21"/>
              </w:rPr>
              <w:t>8）结合当地滑坡工程防治经验，提出合理的治理方案及建议；</w:t>
            </w:r>
          </w:p>
          <w:p>
            <w:pPr>
              <w:pStyle w:val="null3"/>
            </w:pPr>
            <w:r>
              <w:rPr>
                <w:rFonts w:ascii="仿宋_GB2312" w:hAnsi="仿宋_GB2312" w:cs="仿宋_GB2312" w:eastAsia="仿宋_GB2312"/>
                <w:sz w:val="21"/>
              </w:rPr>
              <w:t>（</w:t>
            </w:r>
            <w:r>
              <w:rPr>
                <w:rFonts w:ascii="仿宋_GB2312" w:hAnsi="仿宋_GB2312" w:cs="仿宋_GB2312" w:eastAsia="仿宋_GB2312"/>
                <w:sz w:val="21"/>
              </w:rPr>
              <w:t>9）根据灾害点特征，针对当地实际情况，提出工程治理、工程设计；</w:t>
            </w:r>
          </w:p>
          <w:p>
            <w:pPr>
              <w:pStyle w:val="null3"/>
            </w:pPr>
            <w:r>
              <w:rPr>
                <w:rFonts w:ascii="仿宋_GB2312" w:hAnsi="仿宋_GB2312" w:cs="仿宋_GB2312" w:eastAsia="仿宋_GB2312"/>
                <w:sz w:val="21"/>
              </w:rPr>
              <w:t>（</w:t>
            </w:r>
            <w:r>
              <w:rPr>
                <w:rFonts w:ascii="仿宋_GB2312" w:hAnsi="仿宋_GB2312" w:cs="仿宋_GB2312" w:eastAsia="仿宋_GB2312"/>
                <w:sz w:val="21"/>
              </w:rPr>
              <w:t>10）进行治理工程费用预算。</w:t>
            </w:r>
          </w:p>
          <w:p>
            <w:pPr>
              <w:pStyle w:val="null3"/>
            </w:pPr>
            <w:r>
              <w:rPr>
                <w:rFonts w:ascii="仿宋_GB2312" w:hAnsi="仿宋_GB2312" w:cs="仿宋_GB2312" w:eastAsia="仿宋_GB2312"/>
                <w:sz w:val="21"/>
              </w:rPr>
              <w:t>四、主要技术指标</w:t>
            </w:r>
          </w:p>
          <w:p>
            <w:pPr>
              <w:pStyle w:val="null3"/>
            </w:pPr>
            <w:r>
              <w:rPr>
                <w:rFonts w:ascii="仿宋_GB2312" w:hAnsi="仿宋_GB2312" w:cs="仿宋_GB2312" w:eastAsia="仿宋_GB2312"/>
                <w:sz w:val="21"/>
              </w:rPr>
              <w:t>1、政策依据</w:t>
            </w:r>
          </w:p>
          <w:p>
            <w:pPr>
              <w:pStyle w:val="null3"/>
            </w:pPr>
            <w:r>
              <w:rPr>
                <w:rFonts w:ascii="仿宋_GB2312" w:hAnsi="仿宋_GB2312" w:cs="仿宋_GB2312" w:eastAsia="仿宋_GB2312"/>
                <w:sz w:val="21"/>
              </w:rPr>
              <w:t>（</w:t>
            </w:r>
            <w:r>
              <w:rPr>
                <w:rFonts w:ascii="仿宋_GB2312" w:hAnsi="仿宋_GB2312" w:cs="仿宋_GB2312" w:eastAsia="仿宋_GB2312"/>
                <w:sz w:val="21"/>
              </w:rPr>
              <w:t>1）《地质灾害防治条例》（国务院第 394 号令）；</w:t>
            </w:r>
          </w:p>
          <w:p>
            <w:pPr>
              <w:pStyle w:val="null3"/>
            </w:pPr>
            <w:r>
              <w:rPr>
                <w:rFonts w:ascii="仿宋_GB2312" w:hAnsi="仿宋_GB2312" w:cs="仿宋_GB2312" w:eastAsia="仿宋_GB2312"/>
                <w:sz w:val="21"/>
              </w:rPr>
              <w:t>（</w:t>
            </w:r>
            <w:r>
              <w:rPr>
                <w:rFonts w:ascii="仿宋_GB2312" w:hAnsi="仿宋_GB2312" w:cs="仿宋_GB2312" w:eastAsia="仿宋_GB2312"/>
                <w:sz w:val="21"/>
              </w:rPr>
              <w:t>2）国务院《关于加强地质灾害防治工作的决定》（国发〔2011〕20 号）；</w:t>
            </w:r>
          </w:p>
          <w:p>
            <w:pPr>
              <w:pStyle w:val="null3"/>
            </w:pPr>
            <w:r>
              <w:rPr>
                <w:rFonts w:ascii="仿宋_GB2312" w:hAnsi="仿宋_GB2312" w:cs="仿宋_GB2312" w:eastAsia="仿宋_GB2312"/>
                <w:sz w:val="21"/>
              </w:rPr>
              <w:t>（</w:t>
            </w:r>
            <w:r>
              <w:rPr>
                <w:rFonts w:ascii="仿宋_GB2312" w:hAnsi="仿宋_GB2312" w:cs="仿宋_GB2312" w:eastAsia="仿宋_GB2312"/>
                <w:sz w:val="21"/>
              </w:rPr>
              <w:t>3）《陕西省地质灾害防治条例》（陕西省政府办第十二届四十八号令）；</w:t>
            </w:r>
          </w:p>
          <w:p>
            <w:pPr>
              <w:pStyle w:val="null3"/>
            </w:pPr>
            <w:r>
              <w:rPr>
                <w:rFonts w:ascii="仿宋_GB2312" w:hAnsi="仿宋_GB2312" w:cs="仿宋_GB2312" w:eastAsia="仿宋_GB2312"/>
                <w:sz w:val="21"/>
              </w:rPr>
              <w:t>（</w:t>
            </w:r>
            <w:r>
              <w:rPr>
                <w:rFonts w:ascii="仿宋_GB2312" w:hAnsi="仿宋_GB2312" w:cs="仿宋_GB2312" w:eastAsia="仿宋_GB2312"/>
                <w:sz w:val="21"/>
              </w:rPr>
              <w:t>4） 陕西省人民政府贯彻落实《国务院关于加强地质灾害防治工作决定的实施意见》（陕政发〔2011〕59 号）。</w:t>
            </w:r>
          </w:p>
          <w:p>
            <w:pPr>
              <w:pStyle w:val="null3"/>
            </w:pPr>
            <w:r>
              <w:rPr>
                <w:rFonts w:ascii="仿宋_GB2312" w:hAnsi="仿宋_GB2312" w:cs="仿宋_GB2312" w:eastAsia="仿宋_GB2312"/>
                <w:sz w:val="21"/>
              </w:rPr>
              <w:t>2、规范依据</w:t>
            </w:r>
          </w:p>
          <w:p>
            <w:pPr>
              <w:pStyle w:val="null3"/>
            </w:pPr>
            <w:r>
              <w:rPr>
                <w:rFonts w:ascii="仿宋_GB2312" w:hAnsi="仿宋_GB2312" w:cs="仿宋_GB2312" w:eastAsia="仿宋_GB2312"/>
                <w:sz w:val="21"/>
              </w:rPr>
              <w:t>（</w:t>
            </w:r>
            <w:r>
              <w:rPr>
                <w:rFonts w:ascii="仿宋_GB2312" w:hAnsi="仿宋_GB2312" w:cs="仿宋_GB2312" w:eastAsia="仿宋_GB2312"/>
                <w:sz w:val="21"/>
              </w:rPr>
              <w:t>1）《滑坡防治工程勘査规范》（GB/T32864-2016）；</w:t>
            </w:r>
          </w:p>
          <w:p>
            <w:pPr>
              <w:pStyle w:val="null3"/>
            </w:pPr>
            <w:r>
              <w:rPr>
                <w:rFonts w:ascii="仿宋_GB2312" w:hAnsi="仿宋_GB2312" w:cs="仿宋_GB2312" w:eastAsia="仿宋_GB2312"/>
                <w:sz w:val="21"/>
              </w:rPr>
              <w:t>（</w:t>
            </w:r>
            <w:r>
              <w:rPr>
                <w:rFonts w:ascii="仿宋_GB2312" w:hAnsi="仿宋_GB2312" w:cs="仿宋_GB2312" w:eastAsia="仿宋_GB2312"/>
                <w:sz w:val="21"/>
              </w:rPr>
              <w:t>2）《建筑边坡工程技术规范》（GB50330-2013）；</w:t>
            </w:r>
          </w:p>
          <w:p>
            <w:pPr>
              <w:pStyle w:val="null3"/>
            </w:pPr>
            <w:r>
              <w:rPr>
                <w:rFonts w:ascii="仿宋_GB2312" w:hAnsi="仿宋_GB2312" w:cs="仿宋_GB2312" w:eastAsia="仿宋_GB2312"/>
                <w:sz w:val="21"/>
              </w:rPr>
              <w:t>（</w:t>
            </w:r>
            <w:r>
              <w:rPr>
                <w:rFonts w:ascii="仿宋_GB2312" w:hAnsi="仿宋_GB2312" w:cs="仿宋_GB2312" w:eastAsia="仿宋_GB2312"/>
                <w:sz w:val="21"/>
              </w:rPr>
              <w:t>3）《岩土工程勘察规范（2009 年）》(GB50021-2001)；</w:t>
            </w:r>
          </w:p>
          <w:p>
            <w:pPr>
              <w:pStyle w:val="null3"/>
            </w:pPr>
            <w:r>
              <w:rPr>
                <w:rFonts w:ascii="仿宋_GB2312" w:hAnsi="仿宋_GB2312" w:cs="仿宋_GB2312" w:eastAsia="仿宋_GB2312"/>
                <w:sz w:val="21"/>
              </w:rPr>
              <w:t>（</w:t>
            </w:r>
            <w:r>
              <w:rPr>
                <w:rFonts w:ascii="仿宋_GB2312" w:hAnsi="仿宋_GB2312" w:cs="仿宋_GB2312" w:eastAsia="仿宋_GB2312"/>
                <w:sz w:val="21"/>
              </w:rPr>
              <w:t>4）《工程测量标准》（GB50026-2020）；</w:t>
            </w:r>
          </w:p>
          <w:p>
            <w:pPr>
              <w:pStyle w:val="null3"/>
            </w:pPr>
            <w:r>
              <w:rPr>
                <w:rFonts w:ascii="仿宋_GB2312" w:hAnsi="仿宋_GB2312" w:cs="仿宋_GB2312" w:eastAsia="仿宋_GB2312"/>
                <w:sz w:val="21"/>
              </w:rPr>
              <w:t>（</w:t>
            </w:r>
            <w:r>
              <w:rPr>
                <w:rFonts w:ascii="仿宋_GB2312" w:hAnsi="仿宋_GB2312" w:cs="仿宋_GB2312" w:eastAsia="仿宋_GB2312"/>
                <w:sz w:val="21"/>
              </w:rPr>
              <w:t>5）《国家基本比例尺地图图式》（GB/T 20257.1-2017）；</w:t>
            </w:r>
          </w:p>
          <w:p>
            <w:pPr>
              <w:pStyle w:val="null3"/>
            </w:pPr>
            <w:r>
              <w:rPr>
                <w:rFonts w:ascii="仿宋_GB2312" w:hAnsi="仿宋_GB2312" w:cs="仿宋_GB2312" w:eastAsia="仿宋_GB2312"/>
                <w:sz w:val="21"/>
              </w:rPr>
              <w:t>（</w:t>
            </w:r>
            <w:r>
              <w:rPr>
                <w:rFonts w:ascii="仿宋_GB2312" w:hAnsi="仿宋_GB2312" w:cs="仿宋_GB2312" w:eastAsia="仿宋_GB2312"/>
                <w:sz w:val="21"/>
              </w:rPr>
              <w:t>6）《建筑抗震设计规范（2016 年）》（GB 50011-2010）；</w:t>
            </w:r>
          </w:p>
          <w:p>
            <w:pPr>
              <w:pStyle w:val="null3"/>
            </w:pPr>
            <w:r>
              <w:rPr>
                <w:rFonts w:ascii="仿宋_GB2312" w:hAnsi="仿宋_GB2312" w:cs="仿宋_GB2312" w:eastAsia="仿宋_GB2312"/>
                <w:sz w:val="21"/>
              </w:rPr>
              <w:t>（</w:t>
            </w:r>
            <w:r>
              <w:rPr>
                <w:rFonts w:ascii="仿宋_GB2312" w:hAnsi="仿宋_GB2312" w:cs="仿宋_GB2312" w:eastAsia="仿宋_GB2312"/>
                <w:sz w:val="21"/>
              </w:rPr>
              <w:t>7）《中国地震动参数区划图》(GB18306-2015)；</w:t>
            </w:r>
          </w:p>
          <w:p>
            <w:pPr>
              <w:pStyle w:val="null3"/>
            </w:pPr>
            <w:r>
              <w:rPr>
                <w:rFonts w:ascii="仿宋_GB2312" w:hAnsi="仿宋_GB2312" w:cs="仿宋_GB2312" w:eastAsia="仿宋_GB2312"/>
                <w:sz w:val="21"/>
              </w:rPr>
              <w:t>（</w:t>
            </w:r>
            <w:r>
              <w:rPr>
                <w:rFonts w:ascii="仿宋_GB2312" w:hAnsi="仿宋_GB2312" w:cs="仿宋_GB2312" w:eastAsia="仿宋_GB2312"/>
                <w:sz w:val="21"/>
              </w:rPr>
              <w:t>8）《土工试验方法标准》（GB/T50123-2019）；</w:t>
            </w:r>
          </w:p>
          <w:p>
            <w:pPr>
              <w:pStyle w:val="null3"/>
            </w:pPr>
            <w:r>
              <w:rPr>
                <w:rFonts w:ascii="仿宋_GB2312" w:hAnsi="仿宋_GB2312" w:cs="仿宋_GB2312" w:eastAsia="仿宋_GB2312"/>
                <w:sz w:val="21"/>
              </w:rPr>
              <w:t>（</w:t>
            </w:r>
            <w:r>
              <w:rPr>
                <w:rFonts w:ascii="仿宋_GB2312" w:hAnsi="仿宋_GB2312" w:cs="仿宋_GB2312" w:eastAsia="仿宋_GB2312"/>
                <w:sz w:val="21"/>
              </w:rPr>
              <w:t>9）《土的工程分类标准》(GB/T 50145-2007)；</w:t>
            </w:r>
          </w:p>
          <w:p>
            <w:pPr>
              <w:pStyle w:val="null3"/>
            </w:pPr>
            <w:r>
              <w:rPr>
                <w:rFonts w:ascii="仿宋_GB2312" w:hAnsi="仿宋_GB2312" w:cs="仿宋_GB2312" w:eastAsia="仿宋_GB2312"/>
                <w:sz w:val="21"/>
              </w:rPr>
              <w:t>（</w:t>
            </w:r>
            <w:r>
              <w:rPr>
                <w:rFonts w:ascii="仿宋_GB2312" w:hAnsi="仿宋_GB2312" w:cs="仿宋_GB2312" w:eastAsia="仿宋_GB2312"/>
                <w:sz w:val="21"/>
              </w:rPr>
              <w:t>10）《地质灾害灾情调查评估指南》（T/CAGHP024-2018）；</w:t>
            </w:r>
          </w:p>
          <w:p>
            <w:pPr>
              <w:pStyle w:val="null3"/>
            </w:pPr>
            <w:r>
              <w:rPr>
                <w:rFonts w:ascii="仿宋_GB2312" w:hAnsi="仿宋_GB2312" w:cs="仿宋_GB2312" w:eastAsia="仿宋_GB2312"/>
                <w:sz w:val="21"/>
              </w:rPr>
              <w:t>（</w:t>
            </w:r>
            <w:r>
              <w:rPr>
                <w:rFonts w:ascii="仿宋_GB2312" w:hAnsi="仿宋_GB2312" w:cs="仿宋_GB2312" w:eastAsia="仿宋_GB2312"/>
                <w:sz w:val="21"/>
              </w:rPr>
              <w:t>11）《地质灾害分类分级标准》（T/CAGHP001-2018）；</w:t>
            </w:r>
          </w:p>
          <w:p>
            <w:pPr>
              <w:pStyle w:val="null3"/>
            </w:pPr>
            <w:r>
              <w:rPr>
                <w:rFonts w:ascii="仿宋_GB2312" w:hAnsi="仿宋_GB2312" w:cs="仿宋_GB2312" w:eastAsia="仿宋_GB2312"/>
                <w:sz w:val="21"/>
              </w:rPr>
              <w:t>（</w:t>
            </w:r>
            <w:r>
              <w:rPr>
                <w:rFonts w:ascii="仿宋_GB2312" w:hAnsi="仿宋_GB2312" w:cs="仿宋_GB2312" w:eastAsia="仿宋_GB2312"/>
                <w:sz w:val="21"/>
              </w:rPr>
              <w:t>12）《湿陷性黄土地区边坡工程勘察规范》（DBJ 61/T 192-2021）；</w:t>
            </w:r>
          </w:p>
          <w:p>
            <w:pPr>
              <w:pStyle w:val="null3"/>
            </w:pPr>
            <w:r>
              <w:rPr>
                <w:rFonts w:ascii="仿宋_GB2312" w:hAnsi="仿宋_GB2312" w:cs="仿宋_GB2312" w:eastAsia="仿宋_GB2312"/>
                <w:sz w:val="21"/>
              </w:rPr>
              <w:t>（</w:t>
            </w:r>
            <w:r>
              <w:rPr>
                <w:rFonts w:ascii="仿宋_GB2312" w:hAnsi="仿宋_GB2312" w:cs="仿宋_GB2312" w:eastAsia="仿宋_GB2312"/>
                <w:sz w:val="21"/>
              </w:rPr>
              <w:t>13）《坡面防护工程设计规范（试行）》（T∕CAGHP 027-2018）；</w:t>
            </w:r>
          </w:p>
          <w:p>
            <w:pPr>
              <w:pStyle w:val="null3"/>
            </w:pPr>
            <w:r>
              <w:rPr>
                <w:rFonts w:ascii="仿宋_GB2312" w:hAnsi="仿宋_GB2312" w:cs="仿宋_GB2312" w:eastAsia="仿宋_GB2312"/>
                <w:sz w:val="21"/>
              </w:rPr>
              <w:t>（</w:t>
            </w:r>
            <w:r>
              <w:rPr>
                <w:rFonts w:ascii="仿宋_GB2312" w:hAnsi="仿宋_GB2312" w:cs="仿宋_GB2312" w:eastAsia="仿宋_GB2312"/>
                <w:sz w:val="21"/>
              </w:rPr>
              <w:t>14）《陕西省水利工程设计概（估）算编制规定》（陕发改项目[2017]1606号）。</w:t>
            </w:r>
          </w:p>
          <w:p>
            <w:pPr>
              <w:pStyle w:val="null3"/>
            </w:pPr>
            <w:r>
              <w:rPr>
                <w:rFonts w:ascii="仿宋_GB2312" w:hAnsi="仿宋_GB2312" w:cs="仿宋_GB2312" w:eastAsia="仿宋_GB2312"/>
                <w:sz w:val="21"/>
              </w:rPr>
              <w:t>3、资料依据</w:t>
            </w:r>
          </w:p>
          <w:p>
            <w:pPr>
              <w:pStyle w:val="null3"/>
            </w:pPr>
            <w:r>
              <w:rPr>
                <w:rFonts w:ascii="仿宋_GB2312" w:hAnsi="仿宋_GB2312" w:cs="仿宋_GB2312" w:eastAsia="仿宋_GB2312"/>
                <w:sz w:val="21"/>
              </w:rPr>
              <w:t>（</w:t>
            </w:r>
            <w:r>
              <w:rPr>
                <w:rFonts w:ascii="仿宋_GB2312" w:hAnsi="仿宋_GB2312" w:cs="仿宋_GB2312" w:eastAsia="仿宋_GB2312"/>
                <w:sz w:val="21"/>
              </w:rPr>
              <w:t>1）《工程地质手册》，第五版；</w:t>
            </w:r>
          </w:p>
          <w:p>
            <w:pPr>
              <w:pStyle w:val="null3"/>
            </w:pPr>
            <w:r>
              <w:rPr>
                <w:rFonts w:ascii="仿宋_GB2312" w:hAnsi="仿宋_GB2312" w:cs="仿宋_GB2312" w:eastAsia="仿宋_GB2312"/>
                <w:sz w:val="21"/>
              </w:rPr>
              <w:t>（</w:t>
            </w:r>
            <w:r>
              <w:rPr>
                <w:rFonts w:ascii="仿宋_GB2312" w:hAnsi="仿宋_GB2312" w:cs="仿宋_GB2312" w:eastAsia="仿宋_GB2312"/>
                <w:sz w:val="21"/>
              </w:rPr>
              <w:t>2）《陕西省西安市长安区地质灾害详细调查（1:5 万）》2016年；</w:t>
            </w:r>
          </w:p>
          <w:p>
            <w:pPr>
              <w:pStyle w:val="null3"/>
            </w:pPr>
            <w:r>
              <w:rPr>
                <w:rFonts w:ascii="仿宋_GB2312" w:hAnsi="仿宋_GB2312" w:cs="仿宋_GB2312" w:eastAsia="仿宋_GB2312"/>
                <w:sz w:val="21"/>
              </w:rPr>
              <w:t>（</w:t>
            </w:r>
            <w:r>
              <w:rPr>
                <w:rFonts w:ascii="仿宋_GB2312" w:hAnsi="仿宋_GB2312" w:cs="仿宋_GB2312" w:eastAsia="仿宋_GB2312"/>
                <w:sz w:val="21"/>
              </w:rPr>
              <w:t>3）《西安市长安区地质灾害风险调查评价（1:5 万）》2021年；</w:t>
            </w:r>
          </w:p>
          <w:p>
            <w:pPr>
              <w:pStyle w:val="null3"/>
            </w:pPr>
            <w:r>
              <w:rPr>
                <w:rFonts w:ascii="仿宋_GB2312" w:hAnsi="仿宋_GB2312" w:cs="仿宋_GB2312" w:eastAsia="仿宋_GB2312"/>
                <w:sz w:val="21"/>
              </w:rPr>
              <w:t>（</w:t>
            </w:r>
            <w:r>
              <w:rPr>
                <w:rFonts w:ascii="仿宋_GB2312" w:hAnsi="仿宋_GB2312" w:cs="仿宋_GB2312" w:eastAsia="仿宋_GB2312"/>
                <w:sz w:val="21"/>
              </w:rPr>
              <w:t>4）《陕西省西安市长安区地质灾害防治“十四五”规划），2022年。</w:t>
            </w:r>
          </w:p>
          <w:p>
            <w:pPr>
              <w:pStyle w:val="null3"/>
            </w:pPr>
            <w:r>
              <w:rPr>
                <w:rFonts w:ascii="仿宋_GB2312" w:hAnsi="仿宋_GB2312" w:cs="仿宋_GB2312" w:eastAsia="仿宋_GB2312"/>
                <w:sz w:val="21"/>
              </w:rPr>
              <w:t>五、野外勘查工作</w:t>
            </w:r>
          </w:p>
          <w:p>
            <w:pPr>
              <w:pStyle w:val="null3"/>
            </w:pPr>
            <w:r>
              <w:rPr>
                <w:rFonts w:ascii="仿宋_GB2312" w:hAnsi="仿宋_GB2312" w:cs="仿宋_GB2312" w:eastAsia="仿宋_GB2312"/>
                <w:sz w:val="21"/>
              </w:rPr>
              <w:t>（</w:t>
            </w:r>
            <w:r>
              <w:rPr>
                <w:rFonts w:ascii="仿宋_GB2312" w:hAnsi="仿宋_GB2312" w:cs="仿宋_GB2312" w:eastAsia="仿宋_GB2312"/>
                <w:sz w:val="21"/>
              </w:rPr>
              <w:t>1）根据野外踏勘，按规范要求综合考虑灾害点规模、威胁对象及周围道路边坡问题，确定本次勘查范围；</w:t>
            </w:r>
          </w:p>
          <w:p>
            <w:pPr>
              <w:pStyle w:val="null3"/>
            </w:pPr>
            <w:r>
              <w:rPr>
                <w:rFonts w:ascii="仿宋_GB2312" w:hAnsi="仿宋_GB2312" w:cs="仿宋_GB2312" w:eastAsia="仿宋_GB2312"/>
                <w:sz w:val="21"/>
              </w:rPr>
              <w:t>（</w:t>
            </w:r>
            <w:r>
              <w:rPr>
                <w:rFonts w:ascii="仿宋_GB2312" w:hAnsi="仿宋_GB2312" w:cs="仿宋_GB2312" w:eastAsia="仿宋_GB2312"/>
                <w:sz w:val="21"/>
              </w:rPr>
              <w:t>2）采用 GPS-RTK 及 DJI大疆无人机对滑坡区域及周边的地形进行测量，地形图测量精度为1:500。得到勘查区域内准确的地形地貌以及微地貌现状，为后续设计提供详实的基础资料；</w:t>
            </w:r>
          </w:p>
          <w:p>
            <w:pPr>
              <w:pStyle w:val="null3"/>
            </w:pPr>
            <w:r>
              <w:rPr>
                <w:rFonts w:ascii="仿宋_GB2312" w:hAnsi="仿宋_GB2312" w:cs="仿宋_GB2312" w:eastAsia="仿宋_GB2312"/>
                <w:sz w:val="21"/>
              </w:rPr>
              <w:t>（</w:t>
            </w:r>
            <w:r>
              <w:rPr>
                <w:rFonts w:ascii="仿宋_GB2312" w:hAnsi="仿宋_GB2312" w:cs="仿宋_GB2312" w:eastAsia="仿宋_GB2312"/>
                <w:sz w:val="21"/>
              </w:rPr>
              <w:t>3）采用RTK结合工程地质调查，对主要地段进行1：200工程地质剖面测绘，查明勘查区的地层岩性、地质构造及微地貌特征，重点调查滑坡变形破坏特征及要素，对主要滑坡的变形、坡体地形进行测绘，分析其规模、成因、性质，实测工程地质剖面；</w:t>
            </w:r>
          </w:p>
          <w:p>
            <w:pPr>
              <w:pStyle w:val="null3"/>
            </w:pPr>
            <w:r>
              <w:rPr>
                <w:rFonts w:ascii="仿宋_GB2312" w:hAnsi="仿宋_GB2312" w:cs="仿宋_GB2312" w:eastAsia="仿宋_GB2312"/>
                <w:sz w:val="21"/>
              </w:rPr>
              <w:t>（</w:t>
            </w:r>
            <w:r>
              <w:rPr>
                <w:rFonts w:ascii="仿宋_GB2312" w:hAnsi="仿宋_GB2312" w:cs="仿宋_GB2312" w:eastAsia="仿宋_GB2312"/>
                <w:sz w:val="21"/>
              </w:rPr>
              <w:t>4）在勘查范围内以揭露滑坡体底部滑动面及勘查区地层为目的进行探井探槽取样；探井为直径约 0.8m 的小圆井，采用人工开挖，主要揭露滑坡体范围及滑坡变形迹象；</w:t>
            </w:r>
          </w:p>
          <w:p>
            <w:pPr>
              <w:pStyle w:val="null3"/>
            </w:pPr>
            <w:r>
              <w:rPr>
                <w:rFonts w:ascii="仿宋_GB2312" w:hAnsi="仿宋_GB2312" w:cs="仿宋_GB2312" w:eastAsia="仿宋_GB2312"/>
                <w:sz w:val="21"/>
              </w:rPr>
              <w:t>（</w:t>
            </w:r>
            <w:r>
              <w:rPr>
                <w:rFonts w:ascii="仿宋_GB2312" w:hAnsi="仿宋_GB2312" w:cs="仿宋_GB2312" w:eastAsia="仿宋_GB2312"/>
                <w:sz w:val="21"/>
              </w:rPr>
              <w:t>5）委托有资质的试验室进行土工试验检测，土样测试项目包括天然含水率、密度、干密度、比重、液限、塑限、滑坡土体的抗剪强度指标、自由膨胀率等。</w:t>
            </w:r>
          </w:p>
          <w:p>
            <w:pPr>
              <w:pStyle w:val="null3"/>
            </w:pPr>
            <w:r>
              <w:rPr>
                <w:rFonts w:ascii="仿宋_GB2312" w:hAnsi="仿宋_GB2312" w:cs="仿宋_GB2312" w:eastAsia="仿宋_GB2312"/>
                <w:sz w:val="21"/>
              </w:rPr>
              <w:t>六、提交成果内容</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rPr>
              <w:t>长安区王曲街道王曲村六、七组崩塌治理工程</w:t>
            </w:r>
            <w:r>
              <w:rPr>
                <w:rFonts w:ascii="仿宋_GB2312" w:hAnsi="仿宋_GB2312" w:cs="仿宋_GB2312" w:eastAsia="仿宋_GB2312"/>
                <w:sz w:val="21"/>
              </w:rPr>
              <w:t>勘查、设计报告；</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rPr>
              <w:t>长安区王曲街道王曲村六、七组崩塌治理工程</w:t>
            </w:r>
            <w:r>
              <w:rPr>
                <w:rFonts w:ascii="仿宋_GB2312" w:hAnsi="仿宋_GB2312" w:cs="仿宋_GB2312" w:eastAsia="仿宋_GB2312"/>
                <w:sz w:val="21"/>
              </w:rPr>
              <w:t>勘查、设计相关图件；</w:t>
            </w:r>
          </w:p>
          <w:p>
            <w:pPr>
              <w:pStyle w:val="null3"/>
            </w:pPr>
            <w:r>
              <w:rPr>
                <w:rFonts w:ascii="仿宋_GB2312" w:hAnsi="仿宋_GB2312" w:cs="仿宋_GB2312" w:eastAsia="仿宋_GB2312"/>
                <w:sz w:val="21"/>
              </w:rPr>
              <w:t>（</w:t>
            </w:r>
            <w:r>
              <w:rPr>
                <w:rFonts w:ascii="仿宋_GB2312" w:hAnsi="仿宋_GB2312" w:cs="仿宋_GB2312" w:eastAsia="仿宋_GB2312"/>
                <w:sz w:val="21"/>
              </w:rPr>
              <w:t>3）取得最终专家评审后的“</w:t>
            </w:r>
            <w:r>
              <w:rPr>
                <w:rFonts w:ascii="仿宋_GB2312" w:hAnsi="仿宋_GB2312" w:cs="仿宋_GB2312" w:eastAsia="仿宋_GB2312"/>
                <w:sz w:val="21"/>
              </w:rPr>
              <w:t>长安区王曲街道王曲村六、七组崩塌治理工程</w:t>
            </w:r>
            <w:r>
              <w:rPr>
                <w:rFonts w:ascii="仿宋_GB2312" w:hAnsi="仿宋_GB2312" w:cs="仿宋_GB2312" w:eastAsia="仿宋_GB2312"/>
                <w:sz w:val="21"/>
              </w:rPr>
              <w:t>勘查、设计报告</w:t>
            </w:r>
            <w:r>
              <w:rPr>
                <w:rFonts w:ascii="仿宋_GB2312" w:hAnsi="仿宋_GB2312" w:cs="仿宋_GB2312" w:eastAsia="仿宋_GB2312"/>
                <w:sz w:val="21"/>
              </w:rPr>
              <w:t>”专家组意见。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成交供应商在领取成交通知书时提供2套纸质响应文件（1正1副），纸质版响应文件应与线上电子响应文件保持一致并加盖公章。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2、具有良好的商业信誉和健全的财务会计制度（提供2024或2025年度财务审计报告或开标前6个月内银行资信证明或财政部门认可的政府采购专业担保机构出具的投标担保函）；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供应商须具有地质灾害评估和治理工程勘查设计乙级及以上资质。</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供应商参加政府采购活动承诺书.docx 响应文件封面 供应商拒绝政府采购领域商业贿赂承诺书.docx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法定代表授权委托书及被授权人身份证件（法定代表人直接投标，只须提供其身份证）。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有效期按磋商文件要求响应</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服务期按磋商文件要求响应</w:t>
            </w:r>
          </w:p>
        </w:tc>
        <w:tc>
          <w:tcPr>
            <w:tcW w:type="dxa" w:w="1661"/>
          </w:tcPr>
          <w:p>
            <w:pPr>
              <w:pStyle w:val="null3"/>
            </w:pPr>
            <w:r>
              <w:rPr>
                <w:rFonts w:ascii="仿宋_GB2312" w:hAnsi="仿宋_GB2312" w:cs="仿宋_GB2312" w:eastAsia="仿宋_GB2312"/>
              </w:rPr>
              <w:t>商务要求偏离表.docx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付款方式按磋商文件要求响应</w:t>
            </w:r>
          </w:p>
        </w:tc>
        <w:tc>
          <w:tcPr>
            <w:tcW w:type="dxa" w:w="1661"/>
          </w:tcPr>
          <w:p>
            <w:pPr>
              <w:pStyle w:val="null3"/>
            </w:pPr>
            <w:r>
              <w:rPr>
                <w:rFonts w:ascii="仿宋_GB2312" w:hAnsi="仿宋_GB2312" w:cs="仿宋_GB2312" w:eastAsia="仿宋_GB2312"/>
              </w:rPr>
              <w:t>商务要求偏离表.docx 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分项报价表.docx 标的清单 报价表 磋商报价表.docx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勘查工作方案完整性</w:t>
            </w:r>
          </w:p>
        </w:tc>
        <w:tc>
          <w:tcPr>
            <w:tcW w:type="dxa" w:w="2492"/>
          </w:tcPr>
          <w:p>
            <w:pPr>
              <w:pStyle w:val="null3"/>
            </w:pPr>
            <w:r>
              <w:rPr>
                <w:rFonts w:ascii="仿宋_GB2312" w:hAnsi="仿宋_GB2312" w:cs="仿宋_GB2312" w:eastAsia="仿宋_GB2312"/>
              </w:rPr>
              <w:t>勘查工作方案内容全面，完全结合实际。满分5分。每有一项内容缺陷按缺陷程度扣0.5-1分，直至本项分扣完为止。内容缺陷是指：内容有所缺失、理解不够深刻、现状不够熟悉、各项指标把握情况不够准确、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设计工作方案完整性</w:t>
            </w:r>
          </w:p>
        </w:tc>
        <w:tc>
          <w:tcPr>
            <w:tcW w:type="dxa" w:w="2492"/>
          </w:tcPr>
          <w:p>
            <w:pPr>
              <w:pStyle w:val="null3"/>
            </w:pPr>
            <w:r>
              <w:rPr>
                <w:rFonts w:ascii="仿宋_GB2312" w:hAnsi="仿宋_GB2312" w:cs="仿宋_GB2312" w:eastAsia="仿宋_GB2312"/>
              </w:rPr>
              <w:t>设计工作方案内容全面，完全结合实际。满分5分。每有一项内容缺陷按缺陷程度扣0.5-1分，直至本项分扣完为止。内容缺陷是指：内容有所缺失、理解不够深刻、现状不够熟悉、各项指标把握情况不够准确、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勘查工作方案清晰程度</w:t>
            </w:r>
          </w:p>
        </w:tc>
        <w:tc>
          <w:tcPr>
            <w:tcW w:type="dxa" w:w="2492"/>
          </w:tcPr>
          <w:p>
            <w:pPr>
              <w:pStyle w:val="null3"/>
            </w:pPr>
            <w:r>
              <w:rPr>
                <w:rFonts w:ascii="仿宋_GB2312" w:hAnsi="仿宋_GB2312" w:cs="仿宋_GB2312" w:eastAsia="仿宋_GB2312"/>
              </w:rPr>
              <w:t>勘查工作方案表述清楚，应用性强，重点突出。满分5分；每有一项内容缺陷按缺陷程度扣0.5-1分，直至本项分扣完为止。内容缺陷是指：表述不够清楚、重点不够突出、应用性不强、各项指标把握情况不够准确、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设计工作方案清晰程度</w:t>
            </w:r>
          </w:p>
        </w:tc>
        <w:tc>
          <w:tcPr>
            <w:tcW w:type="dxa" w:w="2492"/>
          </w:tcPr>
          <w:p>
            <w:pPr>
              <w:pStyle w:val="null3"/>
            </w:pPr>
            <w:r>
              <w:rPr>
                <w:rFonts w:ascii="仿宋_GB2312" w:hAnsi="仿宋_GB2312" w:cs="仿宋_GB2312" w:eastAsia="仿宋_GB2312"/>
              </w:rPr>
              <w:t>设计工作方案表述清楚，应用性强，重点突出。满分5分；每有一项内容缺陷按缺陷程度扣0.5-1分，直至本项分扣完为止。内容缺陷是指：表述不够清楚、重点不够突出、应用性不强、各项指标把握情况不够准确、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现状解析</w:t>
            </w:r>
          </w:p>
        </w:tc>
        <w:tc>
          <w:tcPr>
            <w:tcW w:type="dxa" w:w="2492"/>
          </w:tcPr>
          <w:p>
            <w:pPr>
              <w:pStyle w:val="null3"/>
            </w:pPr>
            <w:r>
              <w:rPr>
                <w:rFonts w:ascii="仿宋_GB2312" w:hAnsi="仿宋_GB2312" w:cs="仿宋_GB2312" w:eastAsia="仿宋_GB2312"/>
              </w:rPr>
              <w:t>针对主要内容（勘查与设计）与任务中现状问题识别内容全面，编制思路清晰、针对性强，符合发展需要，具有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提升策略</w:t>
            </w:r>
          </w:p>
        </w:tc>
        <w:tc>
          <w:tcPr>
            <w:tcW w:type="dxa" w:w="2492"/>
          </w:tcPr>
          <w:p>
            <w:pPr>
              <w:pStyle w:val="null3"/>
            </w:pPr>
            <w:r>
              <w:rPr>
                <w:rFonts w:ascii="仿宋_GB2312" w:hAnsi="仿宋_GB2312" w:cs="仿宋_GB2312" w:eastAsia="仿宋_GB2312"/>
              </w:rPr>
              <w:t>针对主要内容与任务中提升策略内容全面，编制思路清晰、针对性强，符合发展需要，具有前瞻性和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合理化建议行之有效、分析透彻，满分5分；每有一项内容缺陷按缺陷程度扣0.5-1分，直至本项分扣完为止。内容缺陷是指：内容不够详实合理、理解不够深刻、现状不够熟悉、建议不够合理全面、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项目出现突发状况或问题后的补救措施等方面，有明确、切实可行、内容详尽的应急补救措施，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对项目实施过程中的重点、难点分析及解决方案，供应商根据本项目的实际情况，提出有针对性的关键点分析及解决方案，且关键点分析准确，解决方案得当，满分5分；每有一项内容缺陷按缺陷程度扣0.5-1分，直至本项分扣完为止。内容缺陷是指：内容不够详实合理、思路不够清晰、不符合项目实际情况、解决方案实施困难，解决方案与重难点分析脱节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进度安排及成果交付计划</w:t>
            </w:r>
          </w:p>
        </w:tc>
        <w:tc>
          <w:tcPr>
            <w:tcW w:type="dxa" w:w="2492"/>
          </w:tcPr>
          <w:p>
            <w:pPr>
              <w:pStyle w:val="null3"/>
            </w:pPr>
            <w:r>
              <w:rPr>
                <w:rFonts w:ascii="仿宋_GB2312" w:hAnsi="仿宋_GB2312" w:cs="仿宋_GB2312" w:eastAsia="仿宋_GB2312"/>
              </w:rPr>
              <w:t>供应商针对本项目招标内容有明确的进度安排，合理的成果交付时限且进度安排科学合理，完全满足需求，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项目负责人具备地质工程或水文地质或岩土工程等相关专业学历，研究生及以上学历的得5分；本科学历的得3分。 项目负责人具备水工环高级职称的得5分，中级职称的得3分，缺项或专业不符不得分。（提供人员有效证书复印件及开标时间前6个月内任意一个月在本单位的社保证明，加盖公章）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专业人员配备合理、全面、满足项目需求，人员分工、岗位职责明确等。 1、根据人员架构的设置情况是否充分，是否具备与本项目相关的专业技术能力，根据人员配备情况进行赋分，满分4分； 2、根据拟派团队人员的专业技术能力进行赋分，满分3分； 3、根据供应商提供的针对本项目团队人员岗位划分是否清晰，职责是否明确进行赋分，满分3分。 以上各项内容每有一项内容缺陷的扣0.5- 1分，直至本项分扣完为止。内容缺陷是指：存在不适用项目实际情况的情形、人员安排不当、配合服务计划不合理、人员经验不足等。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质量保证体系</w:t>
            </w:r>
          </w:p>
        </w:tc>
        <w:tc>
          <w:tcPr>
            <w:tcW w:type="dxa" w:w="2492"/>
          </w:tcPr>
          <w:p>
            <w:pPr>
              <w:pStyle w:val="null3"/>
            </w:pPr>
            <w:r>
              <w:rPr>
                <w:rFonts w:ascii="仿宋_GB2312" w:hAnsi="仿宋_GB2312" w:cs="仿宋_GB2312" w:eastAsia="仿宋_GB2312"/>
              </w:rPr>
              <w:t>供应商质量保证体系合理完善，质量控制程序科学合理，具有针对性和可行性，能有效保障报告编制质量。满分5分。每有一项内容缺陷的扣0.5-1分，直至本项分扣完为止。内容缺陷是指：保证体系不够完善、控制程序不够科学、针对性不够、可行性不够、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后续服务承诺</w:t>
            </w:r>
          </w:p>
        </w:tc>
        <w:tc>
          <w:tcPr>
            <w:tcW w:type="dxa" w:w="2492"/>
          </w:tcPr>
          <w:p>
            <w:pPr>
              <w:pStyle w:val="null3"/>
            </w:pPr>
            <w:r>
              <w:rPr>
                <w:rFonts w:ascii="仿宋_GB2312" w:hAnsi="仿宋_GB2312" w:cs="仿宋_GB2312" w:eastAsia="仿宋_GB2312"/>
              </w:rPr>
              <w:t>对成果交付后的后期服务相关内容做出承诺，后续服务安排及保障全面可行，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根据各供应商提供的2023年1月1日至今同类项目业绩合同，时间以合同签订的日期为准，每一个有效业绩得2分。满分10分。（合同复印件加盖公章附在响应文件中，否则不做为评审依据）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满足磋商文件要求且最后的磋商报价最低的投标价为评审基准价，其价格分为满分。 磋商报价得分=（评审基准价/磋商报价）×评审分值×100。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详见附件：服务承诺书.docx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详见附件：本项目不接受联合体投标.docx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