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版本号：KHXM-ZB-260220260127001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2025年长安区部级绿色高产高效行动（节水增粮县）建设项目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KHXM-ZB-2602</w:t>
      </w:r>
      <w:r>
        <w:br/>
      </w:r>
      <w:r>
        <w:br/>
      </w:r>
      <w:r>
        <w:br/>
      </w:r>
    </w:p>
    <w:p>
      <w:pPr>
        <w:pStyle w:val="null3"/>
        <w:jc w:val="center"/>
        <w:outlineLvl w:val="2"/>
      </w:pPr>
      <w:r>
        <w:rPr>
          <w:rFonts w:ascii="仿宋_GB2312" w:hAnsi="仿宋_GB2312" w:cs="仿宋_GB2312" w:eastAsia="仿宋_GB2312"/>
          <w:sz w:val="28"/>
          <w:b/>
        </w:rPr>
        <w:t>西安市长安区农业技术推广中心</w:t>
      </w:r>
    </w:p>
    <w:p>
      <w:pPr>
        <w:pStyle w:val="null3"/>
        <w:jc w:val="center"/>
        <w:outlineLvl w:val="2"/>
      </w:pPr>
      <w:r>
        <w:rPr>
          <w:rFonts w:ascii="仿宋_GB2312" w:hAnsi="仿宋_GB2312" w:cs="仿宋_GB2312" w:eastAsia="仿宋_GB2312"/>
          <w:sz w:val="28"/>
          <w:b/>
        </w:rPr>
        <w:t>西安昆衡项目管理有限公司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西安昆衡项目管理有限公司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西安市长安区农业技术推广中心</w:t>
      </w:r>
      <w:r>
        <w:rPr>
          <w:rFonts w:ascii="仿宋_GB2312" w:hAnsi="仿宋_GB2312" w:cs="仿宋_GB2312" w:eastAsia="仿宋_GB2312"/>
        </w:rPr>
        <w:t>委托，拟对</w:t>
      </w:r>
      <w:r>
        <w:rPr>
          <w:rFonts w:ascii="仿宋_GB2312" w:hAnsi="仿宋_GB2312" w:cs="仿宋_GB2312" w:eastAsia="仿宋_GB2312"/>
        </w:rPr>
        <w:t>2025年长安区部级绿色高产高效行动（节水增粮县）建设项目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KHXM-ZB-2602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2025年长安区部级绿色高产高效行动（节水增粮县）建设项目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建设小麦千亩方10个、万亩片2个，1个“三主融合”试验示范技术集成展示样板。</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采购包1（2025年长安区部级绿色高产高效行动（节水增粮县）建设项目）：属于专门面向中小企业采购。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授权书（附法定代表人、被授权人身份证复印件及被授权人磋商截止日前一年内已缴存的至少一个月的社会保障资金凭证）；法定代表人直接参加投标，须提供法定代表人身份证明。</w:t>
      </w:r>
    </w:p>
    <w:p>
      <w:pPr>
        <w:pStyle w:val="null3"/>
      </w:pPr>
      <w:r>
        <w:rPr>
          <w:rFonts w:ascii="仿宋_GB2312" w:hAnsi="仿宋_GB2312" w:cs="仿宋_GB2312" w:eastAsia="仿宋_GB2312"/>
        </w:rPr>
        <w:t>2、信用截图：供应商未被“信用中国”网站（www.creditchina.gov.cn）列入失信被执行人和重大税收违法失信主体，未被中国政府采购网（www.ccgp.gov.cn）列入政府采购严重违法失信行为记录名单；（于本项目开标当日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pPr>
        <w:pStyle w:val="null3"/>
      </w:pPr>
      <w:r>
        <w:rPr>
          <w:rFonts w:ascii="仿宋_GB2312" w:hAnsi="仿宋_GB2312" w:cs="仿宋_GB2312" w:eastAsia="仿宋_GB2312"/>
        </w:rPr>
        <w:t>3、非联合体：本项目不接受联合体投标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西安市长安区农业技术推广中心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西安市长安区南长安街201A</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13572429842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西安昆衡项目管理有限公司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陕西省西安市长安区韦曲街办徐家寨社区2-214至2-217</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王同鑫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18009259083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价为基数，参照国家计委关于印发《招标代理服务收费管理暂行办法》（计价格[2002]1980号）的通知和国家发展改革委员会办公厅颁发的《关于招标代理服务收费有关问题的通知》（发改办价格[2003]857号）的有关规定计取。不足5000元按5000元计取。 户名：西安昆衡项目管理有限公司 开户行：中国银行西安长安区樊川路支行 账号：103290501162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西安市长安区农业技术推广中心</w:t>
      </w:r>
      <w:r>
        <w:rPr>
          <w:rFonts w:ascii="仿宋_GB2312" w:hAnsi="仿宋_GB2312" w:cs="仿宋_GB2312" w:eastAsia="仿宋_GB2312"/>
        </w:rPr>
        <w:t>和</w:t>
      </w:r>
      <w:r>
        <w:rPr>
          <w:rFonts w:ascii="仿宋_GB2312" w:hAnsi="仿宋_GB2312" w:cs="仿宋_GB2312" w:eastAsia="仿宋_GB2312"/>
        </w:rPr>
        <w:t>西安昆衡项目管理有限公司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西安市长安区农业技术推广中心</w:t>
      </w:r>
      <w:r>
        <w:rPr>
          <w:rFonts w:ascii="仿宋_GB2312" w:hAnsi="仿宋_GB2312" w:cs="仿宋_GB2312" w:eastAsia="仿宋_GB2312"/>
        </w:rPr>
        <w:t>负责解释。除上述磋商文件内容，其他内容由</w:t>
      </w:r>
      <w:r>
        <w:rPr>
          <w:rFonts w:ascii="仿宋_GB2312" w:hAnsi="仿宋_GB2312" w:cs="仿宋_GB2312" w:eastAsia="仿宋_GB2312"/>
        </w:rPr>
        <w:t>西安昆衡项目管理有限公司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西安市长安区农业技术推广中心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西安昆衡项目管理有限公司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西安昆衡项目管理有限公司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西安昆衡项目管理有限公司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西安昆衡项目管理有限公司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联系人：王同鑫</w:t>
      </w:r>
    </w:p>
    <w:p>
      <w:pPr>
        <w:pStyle w:val="null3"/>
      </w:pPr>
      <w:r>
        <w:rPr>
          <w:rFonts w:ascii="仿宋_GB2312" w:hAnsi="仿宋_GB2312" w:cs="仿宋_GB2312" w:eastAsia="仿宋_GB2312"/>
        </w:rPr>
        <w:t>联系电话：18009259083</w:t>
      </w:r>
    </w:p>
    <w:p>
      <w:pPr>
        <w:pStyle w:val="null3"/>
      </w:pPr>
      <w:r>
        <w:rPr>
          <w:rFonts w:ascii="仿宋_GB2312" w:hAnsi="仿宋_GB2312" w:cs="仿宋_GB2312" w:eastAsia="仿宋_GB2312"/>
        </w:rPr>
        <w:t>地址：陕西省西安市长安区韦曲街办徐家寨社区2-214至2-217</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建设小麦千亩方10个、万亩片2个，1个“三主融合”试验示范技术集成展示样板。</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1,600,000.00</w:t>
      </w:r>
    </w:p>
    <w:p>
      <w:pPr>
        <w:pStyle w:val="null3"/>
      </w:pPr>
      <w:r>
        <w:rPr>
          <w:rFonts w:ascii="仿宋_GB2312" w:hAnsi="仿宋_GB2312" w:cs="仿宋_GB2312" w:eastAsia="仿宋_GB2312"/>
        </w:rPr>
        <w:t>采购包最高限价（元）: 1,600,000.00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建设小麦千亩方万亩片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标的名称：建设小麦千亩方万亩片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w:t>
            </w:r>
            <w:r>
              <w:rPr>
                <w:rFonts w:ascii="仿宋_GB2312" w:hAnsi="仿宋_GB2312" w:cs="仿宋_GB2312" w:eastAsia="仿宋_GB2312"/>
              </w:rPr>
              <w:t>概况</w:t>
            </w:r>
          </w:p>
          <w:p>
            <w:pPr>
              <w:pStyle w:val="null3"/>
            </w:pPr>
            <w:r>
              <w:rPr>
                <w:rFonts w:ascii="仿宋_GB2312" w:hAnsi="仿宋_GB2312" w:cs="仿宋_GB2312" w:eastAsia="仿宋_GB2312"/>
              </w:rPr>
              <w:t>项目名称：</w:t>
            </w:r>
            <w:r>
              <w:rPr>
                <w:rFonts w:ascii="仿宋_GB2312" w:hAnsi="仿宋_GB2312" w:cs="仿宋_GB2312" w:eastAsia="仿宋_GB2312"/>
              </w:rPr>
              <w:t>2025年长安区部级绿色高产高效行动（节水增粮县）建设项目</w:t>
            </w:r>
          </w:p>
          <w:p>
            <w:pPr>
              <w:pStyle w:val="null3"/>
            </w:pPr>
            <w:r>
              <w:rPr>
                <w:rFonts w:ascii="仿宋_GB2312" w:hAnsi="仿宋_GB2312" w:cs="仿宋_GB2312" w:eastAsia="仿宋_GB2312"/>
              </w:rPr>
              <w:t>建设内容：建设小麦千亩方</w:t>
            </w:r>
            <w:r>
              <w:rPr>
                <w:rFonts w:ascii="仿宋_GB2312" w:hAnsi="仿宋_GB2312" w:cs="仿宋_GB2312" w:eastAsia="仿宋_GB2312"/>
              </w:rPr>
              <w:t>10个、万亩片2个</w:t>
            </w:r>
            <w:r>
              <w:rPr>
                <w:rFonts w:ascii="仿宋_GB2312" w:hAnsi="仿宋_GB2312" w:cs="仿宋_GB2312" w:eastAsia="仿宋_GB2312"/>
              </w:rPr>
              <w:t xml:space="preserve"> </w:t>
            </w:r>
            <w:r>
              <w:rPr>
                <w:rFonts w:ascii="仿宋_GB2312" w:hAnsi="仿宋_GB2312" w:cs="仿宋_GB2312" w:eastAsia="仿宋_GB2312"/>
              </w:rPr>
              <w:t>，</w:t>
            </w:r>
            <w:r>
              <w:rPr>
                <w:rFonts w:ascii="仿宋_GB2312" w:hAnsi="仿宋_GB2312" w:cs="仿宋_GB2312" w:eastAsia="仿宋_GB2312"/>
              </w:rPr>
              <w:t>1个</w:t>
            </w:r>
            <w:r>
              <w:rPr>
                <w:rFonts w:ascii="仿宋_GB2312" w:hAnsi="仿宋_GB2312" w:cs="仿宋_GB2312" w:eastAsia="仿宋_GB2312"/>
              </w:rPr>
              <w:t>“三主融合”试验示范技术集成展示样板</w:t>
            </w:r>
            <w:r>
              <w:rPr>
                <w:rFonts w:ascii="仿宋_GB2312" w:hAnsi="仿宋_GB2312" w:cs="仿宋_GB2312" w:eastAsia="仿宋_GB2312"/>
              </w:rPr>
              <w:t>。</w:t>
            </w:r>
          </w:p>
          <w:p>
            <w:pPr>
              <w:pStyle w:val="null3"/>
            </w:pPr>
            <w:r>
              <w:rPr>
                <w:rFonts w:ascii="仿宋_GB2312" w:hAnsi="仿宋_GB2312" w:cs="仿宋_GB2312" w:eastAsia="仿宋_GB2312"/>
              </w:rPr>
              <w:t>二、服务内容（包括工作区域、工作内容等）</w:t>
            </w:r>
          </w:p>
          <w:p>
            <w:pPr>
              <w:pStyle w:val="null3"/>
            </w:pPr>
            <w:r>
              <w:rPr>
                <w:rFonts w:ascii="仿宋_GB2312" w:hAnsi="仿宋_GB2312" w:cs="仿宋_GB2312" w:eastAsia="仿宋_GB2312"/>
              </w:rPr>
              <w:t>1、工作区域：长安区</w:t>
            </w:r>
          </w:p>
          <w:p>
            <w:pPr>
              <w:pStyle w:val="null3"/>
            </w:pPr>
            <w:r>
              <w:rPr>
                <w:rFonts w:ascii="仿宋_GB2312" w:hAnsi="仿宋_GB2312" w:cs="仿宋_GB2312" w:eastAsia="仿宋_GB2312"/>
              </w:rPr>
              <w:t>2、工作内容：</w:t>
            </w:r>
          </w:p>
          <w:p>
            <w:pPr>
              <w:pStyle w:val="null3"/>
            </w:pPr>
            <w:r>
              <w:rPr>
                <w:rFonts w:ascii="仿宋_GB2312" w:hAnsi="仿宋_GB2312" w:cs="仿宋_GB2312" w:eastAsia="仿宋_GB2312"/>
              </w:rPr>
              <w:t>2.1、建设小麦千亩方10个</w:t>
            </w:r>
            <w:r>
              <w:rPr>
                <w:rFonts w:ascii="仿宋_GB2312" w:hAnsi="仿宋_GB2312" w:cs="仿宋_GB2312" w:eastAsia="仿宋_GB2312"/>
              </w:rPr>
              <w:t>。</w:t>
            </w:r>
          </w:p>
          <w:p>
            <w:pPr>
              <w:pStyle w:val="null3"/>
            </w:pPr>
            <w:r>
              <w:rPr>
                <w:rFonts w:ascii="仿宋_GB2312" w:hAnsi="仿宋_GB2312" w:cs="仿宋_GB2312" w:eastAsia="仿宋_GB2312"/>
              </w:rPr>
              <w:t>按照</w:t>
            </w:r>
            <w:r>
              <w:rPr>
                <w:rFonts w:ascii="仿宋_GB2312" w:hAnsi="仿宋_GB2312" w:cs="仿宋_GB2312" w:eastAsia="仿宋_GB2312"/>
              </w:rPr>
              <w:t>30元/亩（人工+药剂）补助标准进行小麦春季阔叶除草及喷施植物生长调节剂；按照45元/亩（人工+肥料）补助标准，开展小麦（冬季或春季）追肥。实施面积1万亩</w:t>
            </w:r>
            <w:r>
              <w:rPr>
                <w:rFonts w:ascii="仿宋_GB2312" w:hAnsi="仿宋_GB2312" w:cs="仿宋_GB2312" w:eastAsia="仿宋_GB2312"/>
              </w:rPr>
              <w:t>。</w:t>
            </w:r>
          </w:p>
          <w:p>
            <w:pPr>
              <w:pStyle w:val="null3"/>
            </w:pPr>
            <w:r>
              <w:rPr>
                <w:rFonts w:ascii="仿宋_GB2312" w:hAnsi="仿宋_GB2312" w:cs="仿宋_GB2312" w:eastAsia="仿宋_GB2312"/>
              </w:rPr>
              <w:t>建设</w:t>
            </w:r>
            <w:r>
              <w:rPr>
                <w:rFonts w:ascii="仿宋_GB2312" w:hAnsi="仿宋_GB2312" w:cs="仿宋_GB2312" w:eastAsia="仿宋_GB2312"/>
              </w:rPr>
              <w:t>1个“三主融合”试验示范技术集成展示样板（配备水肥高效利用装置）。按照500元/亩补助标准进行集中购买技术服务。技术服务围绕小麦</w:t>
            </w:r>
            <w:r>
              <w:rPr>
                <w:rFonts w:ascii="仿宋_GB2312" w:hAnsi="仿宋_GB2312" w:cs="仿宋_GB2312" w:eastAsia="仿宋_GB2312"/>
              </w:rPr>
              <w:t>“</w:t>
            </w:r>
            <w:r>
              <w:rPr>
                <w:rFonts w:ascii="仿宋_GB2312" w:hAnsi="仿宋_GB2312" w:cs="仿宋_GB2312" w:eastAsia="仿宋_GB2312"/>
              </w:rPr>
              <w:t>宽幅沟播</w:t>
            </w:r>
            <w:r>
              <w:rPr>
                <w:rFonts w:ascii="仿宋_GB2312" w:hAnsi="仿宋_GB2312" w:cs="仿宋_GB2312" w:eastAsia="仿宋_GB2312"/>
              </w:rPr>
              <w:t>”</w:t>
            </w:r>
            <w:r>
              <w:rPr>
                <w:rFonts w:ascii="仿宋_GB2312" w:hAnsi="仿宋_GB2312" w:cs="仿宋_GB2312" w:eastAsia="仿宋_GB2312"/>
              </w:rPr>
              <w:t>为核心，选用丰产优质抗病品种，配套深松（翻）整地、合理播期、适量适深播种、水肥微喷、机械镇压、绿色防控、一喷三防、机收减损等高产技术。实施面积</w:t>
            </w:r>
            <w:r>
              <w:rPr>
                <w:rFonts w:ascii="仿宋_GB2312" w:hAnsi="仿宋_GB2312" w:cs="仿宋_GB2312" w:eastAsia="仿宋_GB2312"/>
              </w:rPr>
              <w:t>0.05万亩</w:t>
            </w:r>
            <w:r>
              <w:rPr>
                <w:rFonts w:ascii="仿宋_GB2312" w:hAnsi="仿宋_GB2312" w:cs="仿宋_GB2312" w:eastAsia="仿宋_GB2312"/>
              </w:rPr>
              <w:t>；</w:t>
            </w:r>
          </w:p>
          <w:p>
            <w:pPr>
              <w:pStyle w:val="null3"/>
            </w:pPr>
            <w:r>
              <w:rPr>
                <w:rFonts w:ascii="仿宋_GB2312" w:hAnsi="仿宋_GB2312" w:cs="仿宋_GB2312" w:eastAsia="仿宋_GB2312"/>
              </w:rPr>
              <w:t>2.2、建设小麦万亩片2个</w:t>
            </w:r>
            <w:r>
              <w:rPr>
                <w:rFonts w:ascii="仿宋_GB2312" w:hAnsi="仿宋_GB2312" w:cs="仿宋_GB2312" w:eastAsia="仿宋_GB2312"/>
              </w:rPr>
              <w:t>；</w:t>
            </w:r>
          </w:p>
          <w:p>
            <w:pPr>
              <w:pStyle w:val="null3"/>
            </w:pPr>
            <w:r>
              <w:rPr>
                <w:rFonts w:ascii="仿宋_GB2312" w:hAnsi="仿宋_GB2312" w:cs="仿宋_GB2312" w:eastAsia="仿宋_GB2312"/>
              </w:rPr>
              <w:t>按照</w:t>
            </w:r>
            <w:r>
              <w:rPr>
                <w:rFonts w:ascii="仿宋_GB2312" w:hAnsi="仿宋_GB2312" w:cs="仿宋_GB2312" w:eastAsia="仿宋_GB2312"/>
              </w:rPr>
              <w:t>30元/亩（人工+药剂）补助标准进行小麦春季阔叶除草及喷施植物生长调节剂。实施面积2万亩</w:t>
            </w:r>
            <w:r>
              <w:rPr>
                <w:rFonts w:ascii="仿宋_GB2312" w:hAnsi="仿宋_GB2312" w:cs="仿宋_GB2312" w:eastAsia="仿宋_GB2312"/>
              </w:rPr>
              <w:t>；</w:t>
            </w:r>
          </w:p>
          <w:p>
            <w:pPr>
              <w:pStyle w:val="null3"/>
            </w:pPr>
            <w:r>
              <w:rPr>
                <w:rFonts w:ascii="仿宋_GB2312" w:hAnsi="仿宋_GB2312" w:cs="仿宋_GB2312" w:eastAsia="仿宋_GB2312"/>
              </w:rPr>
              <w:t>三、技术要求（如有，一般适合于技术服务项目）</w:t>
            </w:r>
          </w:p>
          <w:p>
            <w:pPr>
              <w:pStyle w:val="null3"/>
            </w:pPr>
            <w:r>
              <w:rPr>
                <w:rFonts w:ascii="仿宋_GB2312" w:hAnsi="仿宋_GB2312" w:cs="仿宋_GB2312" w:eastAsia="仿宋_GB2312"/>
              </w:rPr>
              <w:t>1、小麦春季阔叶除草及喷施植物生长调节剂选用</w:t>
            </w:r>
            <w:r>
              <w:rPr>
                <w:rFonts w:ascii="仿宋_GB2312" w:hAnsi="仿宋_GB2312" w:cs="仿宋_GB2312" w:eastAsia="仿宋_GB2312"/>
              </w:rPr>
              <w:t>：</w:t>
            </w:r>
            <w:r>
              <w:rPr>
                <w:rFonts w:ascii="仿宋_GB2312" w:hAnsi="仿宋_GB2312" w:cs="仿宋_GB2312" w:eastAsia="仿宋_GB2312"/>
              </w:rPr>
              <w:t>50克/升</w:t>
            </w:r>
            <w:r>
              <w:rPr>
                <w:rFonts w:ascii="仿宋_GB2312" w:hAnsi="仿宋_GB2312" w:cs="仿宋_GB2312" w:eastAsia="仿宋_GB2312"/>
              </w:rPr>
              <w:t>双氟磺草胺悬浮剂</w:t>
            </w:r>
            <w:r>
              <w:rPr>
                <w:rFonts w:ascii="仿宋_GB2312" w:hAnsi="仿宋_GB2312" w:cs="仿宋_GB2312" w:eastAsia="仿宋_GB2312"/>
              </w:rPr>
              <w:t>10克</w:t>
            </w:r>
            <w:r>
              <w:rPr>
                <w:rFonts w:ascii="仿宋_GB2312" w:hAnsi="仿宋_GB2312" w:cs="仿宋_GB2312" w:eastAsia="仿宋_GB2312"/>
              </w:rPr>
              <w:t>/亩</w:t>
            </w:r>
            <w:r>
              <w:rPr>
                <w:rFonts w:ascii="仿宋_GB2312" w:hAnsi="仿宋_GB2312" w:cs="仿宋_GB2312" w:eastAsia="仿宋_GB2312"/>
              </w:rPr>
              <w:t>，</w:t>
            </w:r>
            <w:r>
              <w:rPr>
                <w:rFonts w:ascii="仿宋_GB2312" w:hAnsi="仿宋_GB2312" w:cs="仿宋_GB2312" w:eastAsia="仿宋_GB2312"/>
              </w:rPr>
              <w:t>0.</w:t>
            </w:r>
            <w:r>
              <w:rPr>
                <w:rFonts w:ascii="仿宋_GB2312" w:hAnsi="仿宋_GB2312" w:cs="仿宋_GB2312" w:eastAsia="仿宋_GB2312"/>
              </w:rPr>
              <w:t>01</w:t>
            </w:r>
            <w:r>
              <w:rPr>
                <w:rFonts w:ascii="仿宋_GB2312" w:hAnsi="仿宋_GB2312" w:cs="仿宋_GB2312" w:eastAsia="仿宋_GB2312"/>
              </w:rPr>
              <w:t>%芸苔素10克</w:t>
            </w:r>
            <w:r>
              <w:rPr>
                <w:rFonts w:ascii="仿宋_GB2312" w:hAnsi="仿宋_GB2312" w:cs="仿宋_GB2312" w:eastAsia="仿宋_GB2312"/>
              </w:rPr>
              <w:t>/亩</w:t>
            </w:r>
            <w:r>
              <w:rPr>
                <w:rFonts w:ascii="仿宋_GB2312" w:hAnsi="仿宋_GB2312" w:cs="仿宋_GB2312" w:eastAsia="仿宋_GB2312"/>
              </w:rPr>
              <w:t>。</w:t>
            </w:r>
          </w:p>
          <w:p>
            <w:pPr>
              <w:pStyle w:val="null3"/>
            </w:pPr>
            <w:r>
              <w:rPr>
                <w:rFonts w:ascii="仿宋_GB2312" w:hAnsi="仿宋_GB2312" w:cs="仿宋_GB2312" w:eastAsia="仿宋_GB2312"/>
              </w:rPr>
              <w:t>2、小麦冬季或春季追肥</w:t>
            </w:r>
            <w:r>
              <w:rPr>
                <w:rFonts w:ascii="仿宋_GB2312" w:hAnsi="仿宋_GB2312" w:cs="仿宋_GB2312" w:eastAsia="仿宋_GB2312"/>
              </w:rPr>
              <w:t>：</w:t>
            </w:r>
            <w:r>
              <w:rPr>
                <w:rFonts w:ascii="仿宋_GB2312" w:hAnsi="仿宋_GB2312" w:cs="仿宋_GB2312" w:eastAsia="仿宋_GB2312"/>
              </w:rPr>
              <w:t>每亩追施尿素</w:t>
            </w:r>
            <w:r>
              <w:rPr>
                <w:rFonts w:ascii="仿宋_GB2312" w:hAnsi="仿宋_GB2312" w:cs="仿宋_GB2312" w:eastAsia="仿宋_GB2312"/>
              </w:rPr>
              <w:t>10公斤，</w:t>
            </w:r>
            <w:r>
              <w:rPr>
                <w:rFonts w:ascii="仿宋_GB2312" w:hAnsi="仿宋_GB2312" w:cs="仿宋_GB2312" w:eastAsia="仿宋_GB2312"/>
              </w:rPr>
              <w:t>尿素</w:t>
            </w:r>
            <w:r>
              <w:rPr>
                <w:rFonts w:ascii="仿宋_GB2312" w:hAnsi="仿宋_GB2312" w:cs="仿宋_GB2312" w:eastAsia="仿宋_GB2312"/>
              </w:rPr>
              <w:t>执行国家标准</w:t>
            </w:r>
            <w:r>
              <w:rPr>
                <w:rFonts w:ascii="仿宋_GB2312" w:hAnsi="仿宋_GB2312" w:cs="仿宋_GB2312" w:eastAsia="仿宋_GB2312"/>
              </w:rPr>
              <w:t>: GB/T2440-2017，尿素总氮（N）的质量分数不低于46.0%。</w:t>
            </w:r>
          </w:p>
          <w:p>
            <w:pPr>
              <w:pStyle w:val="null3"/>
            </w:pPr>
            <w:r>
              <w:rPr>
                <w:rFonts w:ascii="仿宋_GB2312" w:hAnsi="仿宋_GB2312" w:cs="仿宋_GB2312" w:eastAsia="仿宋_GB2312"/>
              </w:rPr>
              <w:t>3、1个“三主融合”试验示范技术集成展示样板：</w:t>
            </w:r>
          </w:p>
          <w:p>
            <w:pPr>
              <w:pStyle w:val="null3"/>
            </w:pPr>
            <w:r>
              <w:rPr>
                <w:rFonts w:ascii="仿宋_GB2312" w:hAnsi="仿宋_GB2312" w:cs="仿宋_GB2312" w:eastAsia="仿宋_GB2312"/>
              </w:rPr>
              <w:t>3.1</w:t>
            </w:r>
            <w:r>
              <w:rPr>
                <w:rFonts w:ascii="仿宋_GB2312" w:hAnsi="仿宋_GB2312" w:cs="仿宋_GB2312" w:eastAsia="仿宋_GB2312"/>
              </w:rPr>
              <w:t>单独</w:t>
            </w:r>
            <w:r>
              <w:rPr>
                <w:rFonts w:ascii="仿宋_GB2312" w:hAnsi="仿宋_GB2312" w:cs="仿宋_GB2312" w:eastAsia="仿宋_GB2312"/>
              </w:rPr>
              <w:t>提供</w:t>
            </w:r>
            <w:r>
              <w:rPr>
                <w:rFonts w:ascii="仿宋_GB2312" w:hAnsi="仿宋_GB2312" w:cs="仿宋_GB2312" w:eastAsia="仿宋_GB2312"/>
              </w:rPr>
              <w:t>1个小麦“三主融合”试验示范技术集成展示样板建设实施方案。内容主要围绕“三主融合”， 集成一套可复制、可推广、标准化的技术模式，具体为：选用丰产优质抗病品种，配套深松（翻）整地、合理播期、适量适深播种、水肥微喷、机械镇压、绿色防控、一喷三防、机收减损等高产技术。</w:t>
            </w:r>
          </w:p>
          <w:p>
            <w:pPr>
              <w:pStyle w:val="null3"/>
            </w:pPr>
            <w:r>
              <w:rPr>
                <w:rFonts w:ascii="仿宋_GB2312" w:hAnsi="仿宋_GB2312" w:cs="仿宋_GB2312" w:eastAsia="仿宋_GB2312"/>
              </w:rPr>
              <w:t>3.2提供实施小麦“三主融合”试验示范技术集成展示样板必备的作业机械、防治机械、水肥微喷等相关证明材料</w:t>
            </w:r>
            <w:r>
              <w:rPr>
                <w:rFonts w:ascii="仿宋_GB2312" w:hAnsi="仿宋_GB2312" w:cs="仿宋_GB2312" w:eastAsia="仿宋_GB2312"/>
              </w:rPr>
              <w:t>。</w:t>
            </w:r>
          </w:p>
          <w:p>
            <w:pPr>
              <w:pStyle w:val="null3"/>
            </w:pPr>
            <w:r>
              <w:rPr>
                <w:rFonts w:ascii="仿宋_GB2312" w:hAnsi="仿宋_GB2312" w:cs="仿宋_GB2312" w:eastAsia="仿宋_GB2312"/>
              </w:rPr>
              <w:t>4、防治器械可选用大型自走式喷杆喷雾机，植保无人机等。</w:t>
            </w:r>
          </w:p>
          <w:p>
            <w:pPr>
              <w:pStyle w:val="null3"/>
            </w:pPr>
            <w:r>
              <w:rPr>
                <w:rFonts w:ascii="仿宋_GB2312" w:hAnsi="仿宋_GB2312" w:cs="仿宋_GB2312" w:eastAsia="仿宋_GB2312"/>
              </w:rPr>
              <w:t>5、小麦防治作业时效果达到85%以上，追施尿素时喷撒均匀。无漏喷、漏撒。</w:t>
            </w:r>
          </w:p>
          <w:p>
            <w:pPr>
              <w:pStyle w:val="null3"/>
            </w:pPr>
            <w:r>
              <w:rPr>
                <w:rFonts w:ascii="仿宋_GB2312" w:hAnsi="仿宋_GB2312" w:cs="仿宋_GB2312" w:eastAsia="仿宋_GB2312"/>
              </w:rPr>
              <w:t>6、作业组织采用植保部门要求的药剂，所有药剂必须符合国家的“三证”要求。</w:t>
            </w:r>
          </w:p>
          <w:p>
            <w:pPr>
              <w:pStyle w:val="null3"/>
            </w:pPr>
            <w:r>
              <w:rPr>
                <w:rFonts w:ascii="仿宋_GB2312" w:hAnsi="仿宋_GB2312" w:cs="仿宋_GB2312" w:eastAsia="仿宋_GB2312"/>
              </w:rPr>
              <w:t>四、服务要求（如对人员配置、专业设备、服务标准等）</w:t>
            </w:r>
          </w:p>
          <w:p>
            <w:pPr>
              <w:pStyle w:val="null3"/>
            </w:pPr>
            <w:r>
              <w:rPr>
                <w:rFonts w:ascii="仿宋_GB2312" w:hAnsi="仿宋_GB2312" w:cs="仿宋_GB2312" w:eastAsia="仿宋_GB2312"/>
              </w:rPr>
              <w:t>1、中标方按照甲方要求完成项目实施过程资料的收集和整理。</w:t>
            </w:r>
          </w:p>
          <w:p>
            <w:pPr>
              <w:pStyle w:val="null3"/>
            </w:pPr>
            <w:r>
              <w:rPr>
                <w:rFonts w:ascii="仿宋_GB2312" w:hAnsi="仿宋_GB2312" w:cs="仿宋_GB2312" w:eastAsia="仿宋_GB2312"/>
              </w:rPr>
              <w:t>2、中标方必须按照防治规范操作，如违反防治规范，责任由自己承担。</w:t>
            </w:r>
          </w:p>
          <w:p>
            <w:pPr>
              <w:pStyle w:val="null3"/>
            </w:pPr>
            <w:r>
              <w:rPr>
                <w:rFonts w:ascii="仿宋_GB2312" w:hAnsi="仿宋_GB2312" w:cs="仿宋_GB2312" w:eastAsia="仿宋_GB2312"/>
              </w:rPr>
              <w:t>3、防治器械可选用大型自走式喷杆喷雾机，植保无人机等，器械数量不少于6台（架）。</w:t>
            </w:r>
          </w:p>
          <w:p>
            <w:pPr>
              <w:pStyle w:val="null3"/>
            </w:pPr>
            <w:r>
              <w:rPr>
                <w:rFonts w:ascii="仿宋_GB2312" w:hAnsi="仿宋_GB2312" w:cs="仿宋_GB2312" w:eastAsia="仿宋_GB2312"/>
              </w:rPr>
              <w:t>4、小麦化除等防治作业防治效果达到85%以上，无漏防。追施尿素时喷撒均匀。</w:t>
            </w:r>
          </w:p>
          <w:p>
            <w:pPr>
              <w:pStyle w:val="null3"/>
            </w:pPr>
            <w:r>
              <w:rPr>
                <w:rFonts w:ascii="仿宋_GB2312" w:hAnsi="仿宋_GB2312" w:cs="仿宋_GB2312" w:eastAsia="仿宋_GB2312"/>
              </w:rPr>
              <w:t>5、作业组织采用植保部门要求的药剂，所有药剂必须符合国家的“三证”要求；</w:t>
            </w:r>
          </w:p>
          <w:p>
            <w:pPr>
              <w:pStyle w:val="null3"/>
            </w:pPr>
            <w:r>
              <w:rPr>
                <w:rFonts w:ascii="仿宋_GB2312" w:hAnsi="仿宋_GB2312" w:cs="仿宋_GB2312" w:eastAsia="仿宋_GB2312"/>
              </w:rPr>
              <w:t>五、商务要求（如服务期限、款项结算等）</w:t>
            </w:r>
          </w:p>
          <w:p>
            <w:pPr>
              <w:pStyle w:val="null3"/>
            </w:pPr>
            <w:r>
              <w:rPr>
                <w:rFonts w:ascii="仿宋_GB2312" w:hAnsi="仿宋_GB2312" w:cs="仿宋_GB2312" w:eastAsia="仿宋_GB2312"/>
              </w:rPr>
              <w:t>（一）服务期限</w:t>
            </w:r>
          </w:p>
          <w:p>
            <w:pPr>
              <w:pStyle w:val="null3"/>
            </w:pPr>
            <w:r>
              <w:rPr>
                <w:rFonts w:ascii="仿宋_GB2312" w:hAnsi="仿宋_GB2312" w:cs="仿宋_GB2312" w:eastAsia="仿宋_GB2312"/>
              </w:rPr>
              <w:t>自</w:t>
            </w:r>
            <w:r>
              <w:rPr>
                <w:rFonts w:ascii="仿宋_GB2312" w:hAnsi="仿宋_GB2312" w:cs="仿宋_GB2312" w:eastAsia="仿宋_GB2312"/>
              </w:rPr>
              <w:t>合同签订之日起</w:t>
            </w:r>
            <w:r>
              <w:rPr>
                <w:rFonts w:ascii="仿宋_GB2312" w:hAnsi="仿宋_GB2312" w:cs="仿宋_GB2312" w:eastAsia="仿宋_GB2312"/>
              </w:rPr>
              <w:t>至</w:t>
            </w:r>
            <w:r>
              <w:rPr>
                <w:rFonts w:ascii="仿宋_GB2312" w:hAnsi="仿宋_GB2312" w:cs="仿宋_GB2312" w:eastAsia="仿宋_GB2312"/>
              </w:rPr>
              <w:t>2026年6月30日。</w:t>
            </w:r>
          </w:p>
          <w:p>
            <w:pPr>
              <w:pStyle w:val="null3"/>
            </w:pPr>
            <w:r>
              <w:rPr>
                <w:rFonts w:ascii="仿宋_GB2312" w:hAnsi="仿宋_GB2312" w:cs="仿宋_GB2312" w:eastAsia="仿宋_GB2312"/>
              </w:rPr>
              <w:t>（二）实施地点：采购人指定地点</w:t>
            </w:r>
          </w:p>
          <w:p>
            <w:pPr>
              <w:pStyle w:val="null3"/>
            </w:pPr>
            <w:r>
              <w:rPr>
                <w:rFonts w:ascii="仿宋_GB2312" w:hAnsi="仿宋_GB2312" w:cs="仿宋_GB2312" w:eastAsia="仿宋_GB2312"/>
              </w:rPr>
              <w:t>（三）款项结算</w:t>
            </w:r>
          </w:p>
          <w:p>
            <w:pPr>
              <w:pStyle w:val="null3"/>
            </w:pPr>
            <w:r>
              <w:rPr>
                <w:rFonts w:ascii="仿宋_GB2312" w:hAnsi="仿宋_GB2312" w:cs="仿宋_GB2312" w:eastAsia="仿宋_GB2312"/>
              </w:rPr>
              <w:t>1、结算单位：采购人结算，在付款前必须</w:t>
            </w:r>
            <w:r>
              <w:rPr>
                <w:rFonts w:ascii="仿宋_GB2312" w:hAnsi="仿宋_GB2312" w:cs="仿宋_GB2312" w:eastAsia="仿宋_GB2312"/>
              </w:rPr>
              <w:t>开具等额发票给采购人。</w:t>
            </w:r>
          </w:p>
          <w:p>
            <w:pPr>
              <w:pStyle w:val="null3"/>
            </w:pPr>
            <w:r>
              <w:rPr>
                <w:rFonts w:ascii="仿宋_GB2312" w:hAnsi="仿宋_GB2312" w:cs="仿宋_GB2312" w:eastAsia="仿宋_GB2312"/>
              </w:rPr>
              <w:t>2、付款方式：无预付款，该项目验收完成后，按照财政资金拨付情况及时支付</w:t>
            </w:r>
          </w:p>
          <w:p>
            <w:pPr>
              <w:pStyle w:val="null3"/>
            </w:pPr>
            <w:r>
              <w:rPr>
                <w:rFonts w:ascii="仿宋_GB2312" w:hAnsi="仿宋_GB2312" w:cs="仿宋_GB2312" w:eastAsia="仿宋_GB2312"/>
              </w:rPr>
              <w:t>3、支付方式：银行转账。</w:t>
            </w:r>
          </w:p>
          <w:p>
            <w:pPr>
              <w:pStyle w:val="null3"/>
            </w:pPr>
            <w:r>
              <w:rPr>
                <w:rFonts w:ascii="仿宋_GB2312" w:hAnsi="仿宋_GB2312" w:cs="仿宋_GB2312" w:eastAsia="仿宋_GB2312"/>
              </w:rPr>
              <w:t>六、其他（如有要求，请写明）</w:t>
            </w:r>
          </w:p>
          <w:p>
            <w:pPr>
              <w:pStyle w:val="null3"/>
            </w:pPr>
            <w:r>
              <w:rPr>
                <w:rFonts w:ascii="仿宋_GB2312" w:hAnsi="仿宋_GB2312" w:cs="仿宋_GB2312" w:eastAsia="仿宋_GB2312"/>
              </w:rPr>
              <w:t>1、如中标方作业效果不佳应组织免费重新作业；</w:t>
            </w:r>
          </w:p>
          <w:p>
            <w:pPr>
              <w:pStyle w:val="null3"/>
            </w:pPr>
            <w:r>
              <w:rPr>
                <w:rFonts w:ascii="仿宋_GB2312" w:hAnsi="仿宋_GB2312" w:cs="仿宋_GB2312" w:eastAsia="仿宋_GB2312"/>
                <w:sz w:val="21"/>
              </w:rPr>
              <w:t>2、如中标方作业不力或遗误，产生的经济损失由中标方承担。</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大型自走式喷杆喷雾机，植保无人机等，器械数量不少于6台（架）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1、如中标方作业效果不佳应组织免费重新作业；2、如中标方作业不力或遗误，产生的经济损失由中标方承担。</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自合同签订之日起至2026年6月30日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采购人自行验收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无预付款，该项目验收完成后，按照财政资金拨付情况及时支付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①如中标方作业效果不佳应组织免费重新作业。 ②如中标方作业不力或遗误，产生的经济损失由中标方承担。 ③依据《中华人民共和国民法典》、《中华人民共和国政府采购法》、《中华人民共和国政府采购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 二、解决争议 合同执行中发生争议的，当事人双方应协商解决，协商达不成一致时，可向当地人民法院直接提请诉讼。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中标单位中标后需将纸质投标文件 ( 一正二副二电子U盘) 送至采购代理机构处。纸质版须与电子版保持一致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法定代表人授权书（附法定代表人、被授权人身份证复印件及被授权人磋商截止日前一年内已缴存的至少一个月的社会保障资金凭证）；法定代表人直接参加投标，须提供法定代表人身份证明。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于本项目开标当日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磋商响应文件中需要供应商、法定代表人（负责人）或其授权代表人盖章、签字处有盖章、签字</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只能有一个有效报价，不得提交选择性报价；且报价不超过预算金额或最高限价</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服务内容及服务邀请应答表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1.方案针对性强、思路清晰、可操作性强得8-10分。 2.方案有较强针对性及可操作性得6-8分。 3.有一定可做操作性但针对性不强得4-6分。 4.方案笼统、可行性不强得2-4分。 5.方案漏洞较多的得1-2分。 6.不提供不得分。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“三主融合”试验示范技术集成展示样板建设实施方案</w:t>
            </w:r>
          </w:p>
        </w:tc>
        <w:tc>
          <w:tcPr>
            <w:tcW w:type="dxa" w:w="2492"/>
          </w:tcPr>
          <w:p>
            <w:pPr>
              <w:pStyle w:val="null3"/>
            </w:pPr>
            <w:r>
              <w:rPr>
                <w:rFonts w:ascii="仿宋_GB2312" w:hAnsi="仿宋_GB2312" w:cs="仿宋_GB2312" w:eastAsia="仿宋_GB2312"/>
              </w:rPr>
              <w:t>1.方案针对性强、思路清晰、可操作性强得8-10分。 2.方案有较强针对性及可操作性得6-8分。 3.有一定可做操作性但针对性不强得4-6分。 4.方案笼统、可行性不强得2-4分。 5.方案漏洞较多的得1-2分。 6.不提供不得分。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针对本项目制定详细的质量保证措施，保证措施内容全面详细、阐述条理清晰详尽、符合本项目采购需求得9分；以上分项每缺少一项内容扣3分；有某一项不完整或不符合实际要求或不满足实施要求或套用其他项目内容的每项得0-3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项目认识与理解</w:t>
            </w:r>
          </w:p>
        </w:tc>
        <w:tc>
          <w:tcPr>
            <w:tcW w:type="dxa" w:w="2492"/>
          </w:tcPr>
          <w:p>
            <w:pPr>
              <w:pStyle w:val="null3"/>
            </w:pPr>
            <w:r>
              <w:rPr>
                <w:rFonts w:ascii="仿宋_GB2312" w:hAnsi="仿宋_GB2312" w:cs="仿宋_GB2312" w:eastAsia="仿宋_GB2312"/>
              </w:rPr>
              <w:t>针对本项目，供应商对采购内容及需求目的有充分的认识与理解（包括：①对本项目现状的认识与理解②服务思路③建设目标④重点难点分析）。针对以上4项内容进行综合评审满足1项且内容详细计2分，最高8分；每缺少一项扣2分，存在瑕疵的一项扣0-2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进度保障方案</w:t>
            </w:r>
          </w:p>
        </w:tc>
        <w:tc>
          <w:tcPr>
            <w:tcW w:type="dxa" w:w="2492"/>
          </w:tcPr>
          <w:p>
            <w:pPr>
              <w:pStyle w:val="null3"/>
            </w:pPr>
            <w:r>
              <w:rPr>
                <w:rFonts w:ascii="仿宋_GB2312" w:hAnsi="仿宋_GB2312" w:cs="仿宋_GB2312" w:eastAsia="仿宋_GB2312"/>
              </w:rPr>
              <w:t>提供具有针对性的进度保障方案，方案内容包含①工作时间进度表②工作程序和步骤③关键步骤的思路和要点。内容全面详细、阐述条理清晰详尽、符合本项目采购需求得12分。以上分项每缺少一项内容扣4分；有某一项不完整或不符合实际要求或不满足实施要求或套用其他项目内容的每项得0-4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防治药剂</w:t>
            </w:r>
          </w:p>
        </w:tc>
        <w:tc>
          <w:tcPr>
            <w:tcW w:type="dxa" w:w="2492"/>
          </w:tcPr>
          <w:p>
            <w:pPr>
              <w:pStyle w:val="null3"/>
            </w:pPr>
            <w:r>
              <w:rPr>
                <w:rFonts w:ascii="仿宋_GB2312" w:hAnsi="仿宋_GB2312" w:cs="仿宋_GB2312" w:eastAsia="仿宋_GB2312"/>
              </w:rPr>
              <w:t>小麦春季阔叶除草及喷施植物生长调节剂选用：1、50克/升双氟磺草胺悬浮剂10克/亩，2、0.01%芸苔素10克/亩；每提供一项上述药剂的质量合格证明资料计3分，满分6分。 证明资料如：产品合格证、质量检测报告等。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尿素技术要求</w:t>
            </w:r>
          </w:p>
        </w:tc>
        <w:tc>
          <w:tcPr>
            <w:tcW w:type="dxa" w:w="2492"/>
          </w:tcPr>
          <w:p>
            <w:pPr>
              <w:pStyle w:val="null3"/>
            </w:pPr>
            <w:r>
              <w:rPr>
                <w:rFonts w:ascii="仿宋_GB2312" w:hAnsi="仿宋_GB2312" w:cs="仿宋_GB2312" w:eastAsia="仿宋_GB2312"/>
              </w:rPr>
              <w:t>尿素执行国家标准: GB/T2440-2017，尿素总氮（N）的质量分数不低于46.0%。提供上述肥料的质量合格证明资料计3分，满分3分。证明资料如：产品合格证、质量检测报告等。</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防治机械设备</w:t>
            </w:r>
          </w:p>
        </w:tc>
        <w:tc>
          <w:tcPr>
            <w:tcW w:type="dxa" w:w="2492"/>
          </w:tcPr>
          <w:p>
            <w:pPr>
              <w:pStyle w:val="null3"/>
            </w:pPr>
            <w:r>
              <w:rPr>
                <w:rFonts w:ascii="仿宋_GB2312" w:hAnsi="仿宋_GB2312" w:cs="仿宋_GB2312" w:eastAsia="仿宋_GB2312"/>
              </w:rPr>
              <w:t>大型自走式喷杆喷雾机，植保无人机等，器械数量不少于6台（架），满分6分，每少一台设备扣1分，扣完为止。证明材料：提供购买发票或租赁合同（协议）或其他可证明本单位具有满足项目要求机械的证明材料。</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应急措施保障</w:t>
            </w:r>
          </w:p>
        </w:tc>
        <w:tc>
          <w:tcPr>
            <w:tcW w:type="dxa" w:w="2492"/>
          </w:tcPr>
          <w:p>
            <w:pPr>
              <w:pStyle w:val="null3"/>
            </w:pPr>
            <w:r>
              <w:rPr>
                <w:rFonts w:ascii="仿宋_GB2312" w:hAnsi="仿宋_GB2312" w:cs="仿宋_GB2312" w:eastAsia="仿宋_GB2312"/>
              </w:rPr>
              <w:t>针对本项目提供应急措施保障，措施保障内容包含：①应急预案②应急处理响应时间③应急人数及人员安排④保障措施。措施各部分内容全面详细、阐述条理清晰详尽、符合本项目采购需求得8分，以上分项每缺少一项内容扣2分，有某一项不完整或不符合实际要求或不满足实施要求或套用其他项目内容的扣0-2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2023年1月1日至今（以合同签订时间为准），供应商具有类似服务业绩的，每提供一份计2分，满分8分。备注：响应文件中提供合同复印件加盖公章。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2、满足磋商文件实质性要求且最终报价最低的供应商的价格为磋商基准价，其价格分为满分20分。 3、磋商报价得分=（磋商基准价/最终磋商报价）×20。 4、磋商报价不完整的，不进入磋商基准价的计算，本项得0分。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