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DB65BF4">
      <w:pPr>
        <w:snapToGrid w:val="0"/>
        <w:spacing w:line="360" w:lineRule="auto"/>
        <w:ind w:firstLine="640" w:firstLineChars="200"/>
        <w:jc w:val="center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Hans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2025年长安</w:t>
      </w:r>
      <w:bookmarkStart w:id="2" w:name="_GoBack"/>
      <w:bookmarkEnd w:id="2"/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区部级绿色高产高效行动（节水增粮县）建设项目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Hans"/>
        </w:rPr>
        <w:t>服务合同</w:t>
      </w:r>
    </w:p>
    <w:p w14:paraId="1C4ACFFD">
      <w:pPr>
        <w:snapToGrid w:val="0"/>
        <w:spacing w:beforeLines="50" w:line="360" w:lineRule="auto"/>
        <w:rPr>
          <w:rFonts w:hint="eastAsia" w:ascii="仿宋_GB2312" w:hAnsi="仿宋_GB2312" w:eastAsia="仿宋_GB2312" w:cs="仿宋_GB2312"/>
          <w:kern w:val="0"/>
          <w:sz w:val="20"/>
          <w:szCs w:val="20"/>
          <w:lang w:val="en-US" w:eastAsia="zh-Hans"/>
        </w:rPr>
      </w:pPr>
      <w:r>
        <w:rPr>
          <w:rFonts w:hint="eastAsia" w:ascii="仿宋_GB2312" w:hAnsi="仿宋_GB2312" w:eastAsia="仿宋_GB2312" w:cs="仿宋_GB2312"/>
          <w:kern w:val="0"/>
          <w:sz w:val="20"/>
          <w:szCs w:val="20"/>
          <w:lang w:val="en-US" w:eastAsia="zh-Hans"/>
        </w:rPr>
        <w:t>甲方（采购人）：</w:t>
      </w:r>
    </w:p>
    <w:p w14:paraId="7A50FB0B">
      <w:pPr>
        <w:snapToGrid w:val="0"/>
        <w:spacing w:afterLines="50" w:line="360" w:lineRule="auto"/>
        <w:rPr>
          <w:rFonts w:hint="eastAsia" w:ascii="仿宋_GB2312" w:hAnsi="仿宋_GB2312" w:eastAsia="仿宋_GB2312" w:cs="仿宋_GB2312"/>
          <w:kern w:val="0"/>
          <w:sz w:val="20"/>
          <w:szCs w:val="20"/>
          <w:lang w:val="en-US" w:eastAsia="zh-Hans"/>
        </w:rPr>
      </w:pPr>
      <w:r>
        <w:rPr>
          <w:rFonts w:hint="eastAsia" w:ascii="仿宋_GB2312" w:hAnsi="仿宋_GB2312" w:eastAsia="仿宋_GB2312" w:cs="仿宋_GB2312"/>
          <w:kern w:val="0"/>
          <w:sz w:val="20"/>
          <w:szCs w:val="20"/>
          <w:lang w:val="en-US" w:eastAsia="zh-Hans"/>
        </w:rPr>
        <w:t xml:space="preserve">乙方（供应商）： </w:t>
      </w:r>
    </w:p>
    <w:p w14:paraId="79727D7D">
      <w:pPr>
        <w:snapToGrid w:val="0"/>
        <w:spacing w:line="360" w:lineRule="auto"/>
        <w:ind w:firstLine="400" w:firstLineChars="200"/>
        <w:rPr>
          <w:rFonts w:hint="eastAsia" w:ascii="仿宋_GB2312" w:hAnsi="仿宋_GB2312" w:eastAsia="仿宋_GB2312" w:cs="仿宋_GB2312"/>
          <w:kern w:val="0"/>
          <w:sz w:val="20"/>
          <w:szCs w:val="20"/>
          <w:lang w:val="en-US" w:eastAsia="zh-Hans"/>
        </w:rPr>
      </w:pPr>
      <w:r>
        <w:rPr>
          <w:rFonts w:hint="eastAsia" w:ascii="仿宋_GB2312" w:hAnsi="仿宋_GB2312" w:eastAsia="仿宋_GB2312" w:cs="仿宋_GB2312"/>
          <w:kern w:val="0"/>
          <w:sz w:val="20"/>
          <w:szCs w:val="20"/>
          <w:lang w:val="en-US" w:eastAsia="zh-Hans"/>
        </w:rPr>
        <w:t>根据《中华人民共和国政府采购法》、《中华人民共和国民法典》及其他有关法律、法规，遵循平等、自愿、公平和诚信的原则，双方就下述项目范围与相关服务事项协商一致，订立本合同。</w:t>
      </w:r>
    </w:p>
    <w:p w14:paraId="638B4FAC">
      <w:pPr>
        <w:spacing w:line="360" w:lineRule="auto"/>
        <w:ind w:firstLine="392" w:firstLineChars="196"/>
        <w:rPr>
          <w:rFonts w:hint="eastAsia" w:ascii="仿宋_GB2312" w:hAnsi="仿宋_GB2312" w:eastAsia="仿宋_GB2312" w:cs="仿宋_GB2312"/>
          <w:kern w:val="0"/>
          <w:sz w:val="20"/>
          <w:szCs w:val="20"/>
          <w:lang w:val="en-US" w:eastAsia="zh-Hans"/>
        </w:rPr>
      </w:pPr>
      <w:r>
        <w:rPr>
          <w:rFonts w:hint="eastAsia" w:ascii="仿宋_GB2312" w:hAnsi="仿宋_GB2312" w:eastAsia="仿宋_GB2312" w:cs="仿宋_GB2312"/>
          <w:kern w:val="0"/>
          <w:sz w:val="20"/>
          <w:szCs w:val="20"/>
          <w:lang w:val="en-US" w:eastAsia="zh-Hans"/>
        </w:rPr>
        <w:t>一、项目概况</w:t>
      </w:r>
    </w:p>
    <w:p w14:paraId="4A46DB3A">
      <w:pPr>
        <w:snapToGrid w:val="0"/>
        <w:spacing w:line="360" w:lineRule="auto"/>
        <w:ind w:firstLine="400" w:firstLineChars="200"/>
        <w:rPr>
          <w:rFonts w:hint="eastAsia" w:ascii="仿宋_GB2312" w:hAnsi="仿宋_GB2312" w:eastAsia="仿宋_GB2312" w:cs="仿宋_GB2312"/>
          <w:kern w:val="0"/>
          <w:sz w:val="20"/>
          <w:szCs w:val="20"/>
          <w:lang w:val="en-US" w:eastAsia="zh-CN"/>
        </w:rPr>
      </w:pPr>
      <w:r>
        <w:rPr>
          <w:rFonts w:hint="eastAsia" w:ascii="仿宋_GB2312" w:hAnsi="仿宋_GB2312" w:eastAsia="仿宋_GB2312" w:cs="仿宋_GB2312"/>
          <w:kern w:val="0"/>
          <w:sz w:val="20"/>
          <w:szCs w:val="20"/>
          <w:lang w:val="en-US" w:eastAsia="zh-Hans"/>
        </w:rPr>
        <w:t>1. 项目名称：</w:t>
      </w:r>
      <w:r>
        <w:rPr>
          <w:rFonts w:hint="eastAsia" w:ascii="仿宋_GB2312" w:hAnsi="仿宋_GB2312" w:eastAsia="仿宋_GB2312" w:cs="仿宋_GB2312"/>
          <w:kern w:val="0"/>
          <w:sz w:val="20"/>
          <w:szCs w:val="20"/>
          <w:lang w:val="en-US" w:eastAsia="zh-CN"/>
        </w:rPr>
        <w:t>2025年长安区部级绿色高产高效行动（节水增粮县）建设项目项目</w:t>
      </w:r>
    </w:p>
    <w:p w14:paraId="4D4E4F85">
      <w:pPr>
        <w:snapToGrid w:val="0"/>
        <w:spacing w:line="360" w:lineRule="auto"/>
        <w:ind w:firstLine="300" w:firstLineChars="150"/>
        <w:rPr>
          <w:rFonts w:hint="eastAsia" w:ascii="仿宋_GB2312" w:hAnsi="仿宋_GB2312" w:eastAsia="仿宋_GB2312" w:cs="仿宋_GB2312"/>
          <w:kern w:val="0"/>
          <w:sz w:val="20"/>
          <w:szCs w:val="20"/>
          <w:lang w:val="en-US" w:eastAsia="zh-Hans"/>
        </w:rPr>
      </w:pPr>
      <w:r>
        <w:rPr>
          <w:rFonts w:hint="eastAsia" w:ascii="仿宋_GB2312" w:hAnsi="仿宋_GB2312" w:eastAsia="仿宋_GB2312" w:cs="仿宋_GB2312"/>
          <w:kern w:val="0"/>
          <w:sz w:val="20"/>
          <w:szCs w:val="20"/>
          <w:lang w:val="en-US" w:eastAsia="zh-Hans"/>
        </w:rPr>
        <w:t xml:space="preserve"> 2. 项目内容：</w:t>
      </w:r>
      <w:r>
        <w:rPr>
          <w:rFonts w:hint="eastAsia" w:ascii="仿宋_GB2312" w:hAnsi="仿宋_GB2312" w:eastAsia="仿宋_GB2312" w:cs="仿宋_GB2312"/>
          <w:kern w:val="0"/>
          <w:sz w:val="20"/>
          <w:szCs w:val="20"/>
          <w:lang w:val="en-US" w:eastAsia="zh-CN"/>
        </w:rPr>
        <w:t>建设小麦千亩方10个、万亩片2个 ，1个“三主融合”试验示范技术集成展示样板。</w:t>
      </w:r>
    </w:p>
    <w:p w14:paraId="73552261">
      <w:pPr>
        <w:snapToGrid w:val="0"/>
        <w:spacing w:line="360" w:lineRule="auto"/>
        <w:ind w:firstLine="400" w:firstLineChars="200"/>
        <w:rPr>
          <w:rFonts w:hint="default" w:ascii="仿宋_GB2312" w:hAnsi="仿宋_GB2312" w:eastAsia="仿宋_GB2312" w:cs="仿宋_GB2312"/>
          <w:kern w:val="0"/>
          <w:sz w:val="20"/>
          <w:szCs w:val="20"/>
          <w:lang w:val="en-US" w:eastAsia="zh-CN"/>
        </w:rPr>
      </w:pPr>
      <w:r>
        <w:rPr>
          <w:rFonts w:hint="eastAsia" w:ascii="仿宋_GB2312" w:hAnsi="仿宋_GB2312" w:eastAsia="仿宋_GB2312" w:cs="仿宋_GB2312"/>
          <w:kern w:val="0"/>
          <w:sz w:val="20"/>
          <w:szCs w:val="20"/>
          <w:lang w:val="en-US" w:eastAsia="zh-Hans"/>
        </w:rPr>
        <w:t>3. 项目地点：</w:t>
      </w:r>
      <w:r>
        <w:rPr>
          <w:rFonts w:hint="eastAsia" w:ascii="仿宋_GB2312" w:hAnsi="仿宋_GB2312" w:eastAsia="仿宋_GB2312" w:cs="仿宋_GB2312"/>
          <w:kern w:val="0"/>
          <w:sz w:val="20"/>
          <w:szCs w:val="20"/>
          <w:lang w:val="en-US" w:eastAsia="zh-CN"/>
        </w:rPr>
        <w:t>采购人指定地点</w:t>
      </w:r>
    </w:p>
    <w:p w14:paraId="4C932BD5">
      <w:pPr>
        <w:spacing w:line="360" w:lineRule="auto"/>
        <w:ind w:firstLine="392" w:firstLineChars="196"/>
        <w:rPr>
          <w:rFonts w:hint="eastAsia" w:ascii="仿宋_GB2312" w:hAnsi="仿宋_GB2312" w:eastAsia="仿宋_GB2312" w:cs="仿宋_GB2312"/>
          <w:kern w:val="0"/>
          <w:sz w:val="20"/>
          <w:szCs w:val="20"/>
          <w:lang w:val="en-US" w:eastAsia="zh-Hans"/>
        </w:rPr>
      </w:pPr>
      <w:r>
        <w:rPr>
          <w:rFonts w:hint="eastAsia" w:ascii="仿宋_GB2312" w:hAnsi="仿宋_GB2312" w:eastAsia="仿宋_GB2312" w:cs="仿宋_GB2312"/>
          <w:kern w:val="0"/>
          <w:sz w:val="20"/>
          <w:szCs w:val="20"/>
          <w:lang w:val="en-US" w:eastAsia="zh-Hans"/>
        </w:rPr>
        <w:t>二、组成本合同的文件</w:t>
      </w:r>
    </w:p>
    <w:p w14:paraId="54910BD7">
      <w:pPr>
        <w:snapToGrid w:val="0"/>
        <w:spacing w:line="360" w:lineRule="auto"/>
        <w:ind w:firstLine="400" w:firstLineChars="200"/>
        <w:rPr>
          <w:rFonts w:hint="eastAsia" w:ascii="仿宋_GB2312" w:hAnsi="仿宋_GB2312" w:eastAsia="仿宋_GB2312" w:cs="仿宋_GB2312"/>
          <w:kern w:val="0"/>
          <w:sz w:val="20"/>
          <w:szCs w:val="20"/>
          <w:lang w:val="en-US" w:eastAsia="zh-Hans"/>
        </w:rPr>
      </w:pPr>
      <w:r>
        <w:rPr>
          <w:rFonts w:hint="eastAsia" w:ascii="仿宋_GB2312" w:hAnsi="仿宋_GB2312" w:eastAsia="仿宋_GB2312" w:cs="仿宋_GB2312"/>
          <w:kern w:val="0"/>
          <w:sz w:val="20"/>
          <w:szCs w:val="20"/>
          <w:lang w:val="en-US" w:eastAsia="zh-Hans"/>
        </w:rPr>
        <w:t>1.采购服务合同；</w:t>
      </w:r>
    </w:p>
    <w:p w14:paraId="1E496F1A">
      <w:pPr>
        <w:snapToGrid w:val="0"/>
        <w:spacing w:line="360" w:lineRule="auto"/>
        <w:ind w:firstLine="400" w:firstLineChars="200"/>
        <w:rPr>
          <w:rFonts w:hint="eastAsia" w:ascii="仿宋_GB2312" w:hAnsi="仿宋_GB2312" w:eastAsia="仿宋_GB2312" w:cs="仿宋_GB2312"/>
          <w:kern w:val="0"/>
          <w:sz w:val="20"/>
          <w:szCs w:val="20"/>
          <w:lang w:val="en-US" w:eastAsia="zh-Hans"/>
        </w:rPr>
      </w:pPr>
      <w:r>
        <w:rPr>
          <w:rFonts w:hint="eastAsia" w:ascii="仿宋_GB2312" w:hAnsi="仿宋_GB2312" w:eastAsia="仿宋_GB2312" w:cs="仿宋_GB2312"/>
          <w:kern w:val="0"/>
          <w:sz w:val="20"/>
          <w:szCs w:val="20"/>
          <w:lang w:val="en-US" w:eastAsia="zh-Hans"/>
        </w:rPr>
        <w:t>2.成交通知书、磋商响应文件、竞争性磋商文件、澄清、磋商补充文件（或委托书）；</w:t>
      </w:r>
    </w:p>
    <w:p w14:paraId="2751DFFA">
      <w:pPr>
        <w:snapToGrid w:val="0"/>
        <w:spacing w:line="360" w:lineRule="auto"/>
        <w:ind w:firstLine="400" w:firstLineChars="200"/>
        <w:rPr>
          <w:rFonts w:hint="eastAsia" w:ascii="仿宋_GB2312" w:hAnsi="仿宋_GB2312" w:eastAsia="仿宋_GB2312" w:cs="仿宋_GB2312"/>
          <w:kern w:val="0"/>
          <w:sz w:val="20"/>
          <w:szCs w:val="20"/>
          <w:lang w:val="en-US" w:eastAsia="zh-Hans"/>
        </w:rPr>
      </w:pPr>
      <w:r>
        <w:rPr>
          <w:rFonts w:hint="eastAsia" w:ascii="仿宋_GB2312" w:hAnsi="仿宋_GB2312" w:eastAsia="仿宋_GB2312" w:cs="仿宋_GB2312"/>
          <w:kern w:val="0"/>
          <w:sz w:val="20"/>
          <w:szCs w:val="20"/>
          <w:lang w:val="en-US" w:eastAsia="zh-Hans"/>
        </w:rPr>
        <w:t>3.相关服务建议书；</w:t>
      </w:r>
    </w:p>
    <w:p w14:paraId="2FD87DEB">
      <w:pPr>
        <w:snapToGrid w:val="0"/>
        <w:spacing w:line="360" w:lineRule="auto"/>
        <w:ind w:firstLine="400" w:firstLineChars="200"/>
        <w:rPr>
          <w:rFonts w:hint="eastAsia" w:ascii="仿宋_GB2312" w:hAnsi="仿宋_GB2312" w:eastAsia="仿宋_GB2312" w:cs="仿宋_GB2312"/>
          <w:kern w:val="0"/>
          <w:sz w:val="20"/>
          <w:szCs w:val="20"/>
          <w:lang w:val="en-US" w:eastAsia="zh-Hans"/>
        </w:rPr>
      </w:pPr>
      <w:r>
        <w:rPr>
          <w:rFonts w:hint="eastAsia" w:ascii="仿宋_GB2312" w:hAnsi="仿宋_GB2312" w:eastAsia="仿宋_GB2312" w:cs="仿宋_GB2312"/>
          <w:kern w:val="0"/>
          <w:sz w:val="20"/>
          <w:szCs w:val="20"/>
          <w:lang w:val="en-US" w:eastAsia="zh-Hans"/>
        </w:rPr>
        <w:t>4.附录，即：附表内相关服务的范围和内容；</w:t>
      </w:r>
    </w:p>
    <w:p w14:paraId="3EC7CC05">
      <w:pPr>
        <w:spacing w:line="360" w:lineRule="auto"/>
        <w:ind w:firstLine="300" w:firstLineChars="150"/>
        <w:rPr>
          <w:rFonts w:hint="eastAsia" w:ascii="仿宋_GB2312" w:hAnsi="仿宋_GB2312" w:eastAsia="仿宋_GB2312" w:cs="仿宋_GB2312"/>
          <w:kern w:val="0"/>
          <w:sz w:val="20"/>
          <w:szCs w:val="20"/>
          <w:lang w:val="en-US" w:eastAsia="zh-Hans"/>
        </w:rPr>
      </w:pPr>
      <w:r>
        <w:rPr>
          <w:rFonts w:hint="eastAsia" w:ascii="仿宋_GB2312" w:hAnsi="仿宋_GB2312" w:eastAsia="仿宋_GB2312" w:cs="仿宋_GB2312"/>
          <w:kern w:val="0"/>
          <w:sz w:val="20"/>
          <w:szCs w:val="20"/>
          <w:lang w:val="en-US" w:eastAsia="zh-Hans"/>
        </w:rPr>
        <w:t>本合同签订后，双方依法签订的补充协议也是本合同文件的组成部分。</w:t>
      </w:r>
    </w:p>
    <w:p w14:paraId="676F0B81">
      <w:pPr>
        <w:spacing w:line="360" w:lineRule="auto"/>
        <w:ind w:firstLine="392" w:firstLineChars="196"/>
        <w:rPr>
          <w:rFonts w:hint="eastAsia" w:ascii="仿宋_GB2312" w:hAnsi="仿宋_GB2312" w:eastAsia="仿宋_GB2312" w:cs="仿宋_GB2312"/>
          <w:kern w:val="0"/>
          <w:sz w:val="20"/>
          <w:szCs w:val="20"/>
          <w:lang w:val="en-US" w:eastAsia="zh-Hans"/>
        </w:rPr>
      </w:pPr>
      <w:r>
        <w:rPr>
          <w:rFonts w:hint="eastAsia" w:ascii="仿宋_GB2312" w:hAnsi="仿宋_GB2312" w:eastAsia="仿宋_GB2312" w:cs="仿宋_GB2312"/>
          <w:kern w:val="0"/>
          <w:sz w:val="20"/>
          <w:szCs w:val="20"/>
          <w:lang w:val="en-US" w:eastAsia="zh-Hans"/>
        </w:rPr>
        <w:t>三、合同总价</w:t>
      </w:r>
    </w:p>
    <w:p w14:paraId="66A25CC3">
      <w:pPr>
        <w:snapToGrid w:val="0"/>
        <w:spacing w:line="360" w:lineRule="auto"/>
        <w:ind w:firstLine="400" w:firstLineChars="200"/>
        <w:rPr>
          <w:rFonts w:hint="eastAsia" w:ascii="仿宋_GB2312" w:hAnsi="仿宋_GB2312" w:eastAsia="仿宋_GB2312" w:cs="仿宋_GB2312"/>
          <w:kern w:val="0"/>
          <w:sz w:val="20"/>
          <w:szCs w:val="20"/>
          <w:lang w:val="en-US" w:eastAsia="zh-Hans"/>
        </w:rPr>
      </w:pPr>
      <w:r>
        <w:rPr>
          <w:rFonts w:hint="eastAsia" w:ascii="仿宋_GB2312" w:hAnsi="仿宋_GB2312" w:eastAsia="仿宋_GB2312" w:cs="仿宋_GB2312"/>
          <w:kern w:val="0"/>
          <w:sz w:val="20"/>
          <w:szCs w:val="20"/>
          <w:lang w:val="en-US" w:eastAsia="zh-Hans"/>
        </w:rPr>
        <w:t>1.合同总价</w:t>
      </w:r>
      <w:r>
        <w:rPr>
          <w:rFonts w:hint="eastAsia" w:ascii="仿宋_GB2312" w:hAnsi="仿宋_GB2312" w:eastAsia="仿宋_GB2312" w:cs="仿宋_GB2312"/>
          <w:kern w:val="0"/>
          <w:sz w:val="20"/>
          <w:szCs w:val="20"/>
          <w:u w:val="single"/>
          <w:lang w:val="en-US" w:eastAsia="zh-Hans"/>
        </w:rPr>
        <w:t xml:space="preserve">：大写：                    ，¥：                </w:t>
      </w:r>
      <w:r>
        <w:rPr>
          <w:rFonts w:hint="eastAsia" w:ascii="仿宋_GB2312" w:hAnsi="仿宋_GB2312" w:eastAsia="仿宋_GB2312" w:cs="仿宋_GB2312"/>
          <w:kern w:val="0"/>
          <w:sz w:val="20"/>
          <w:szCs w:val="20"/>
          <w:lang w:val="en-US" w:eastAsia="zh-Hans"/>
        </w:rPr>
        <w:t>。</w:t>
      </w:r>
    </w:p>
    <w:p w14:paraId="78FAB174">
      <w:pPr>
        <w:snapToGrid w:val="0"/>
        <w:spacing w:line="360" w:lineRule="auto"/>
        <w:ind w:firstLine="400" w:firstLineChars="200"/>
        <w:rPr>
          <w:rFonts w:hint="eastAsia" w:ascii="仿宋_GB2312" w:hAnsi="仿宋_GB2312" w:eastAsia="仿宋_GB2312" w:cs="仿宋_GB2312"/>
          <w:kern w:val="0"/>
          <w:sz w:val="20"/>
          <w:szCs w:val="20"/>
          <w:lang w:val="en-US" w:eastAsia="zh-Hans"/>
        </w:rPr>
      </w:pPr>
      <w:r>
        <w:rPr>
          <w:rFonts w:hint="eastAsia" w:ascii="仿宋_GB2312" w:hAnsi="仿宋_GB2312" w:eastAsia="仿宋_GB2312" w:cs="仿宋_GB2312"/>
          <w:kern w:val="0"/>
          <w:sz w:val="20"/>
          <w:szCs w:val="20"/>
          <w:lang w:val="en-US" w:eastAsia="zh-Hans"/>
        </w:rPr>
        <w:t>2.合同总价即中标价，合同总价一次包死，不受市场价变化或实际工作量变化的影响，合同价格为含税价，供应商（中标人）提供产品所发生的一切税（包括增值税）费等都已包含于合同价款中。</w:t>
      </w:r>
    </w:p>
    <w:p w14:paraId="6FD4B40C">
      <w:pPr>
        <w:snapToGrid w:val="0"/>
        <w:spacing w:line="360" w:lineRule="auto"/>
        <w:ind w:firstLine="392" w:firstLineChars="196"/>
        <w:rPr>
          <w:rFonts w:hint="eastAsia" w:ascii="仿宋_GB2312" w:hAnsi="仿宋_GB2312" w:eastAsia="仿宋_GB2312" w:cs="仿宋_GB2312"/>
          <w:kern w:val="0"/>
          <w:sz w:val="20"/>
          <w:szCs w:val="20"/>
          <w:lang w:val="en-US" w:eastAsia="zh-Hans"/>
        </w:rPr>
      </w:pPr>
      <w:r>
        <w:rPr>
          <w:rFonts w:hint="eastAsia" w:ascii="仿宋_GB2312" w:hAnsi="仿宋_GB2312" w:eastAsia="仿宋_GB2312" w:cs="仿宋_GB2312"/>
          <w:kern w:val="0"/>
          <w:sz w:val="20"/>
          <w:szCs w:val="20"/>
          <w:lang w:val="en-US" w:eastAsia="zh-Hans"/>
        </w:rPr>
        <w:t>四、结算方式</w:t>
      </w:r>
    </w:p>
    <w:p w14:paraId="4A8B3A64">
      <w:pPr>
        <w:snapToGrid w:val="0"/>
        <w:spacing w:line="360" w:lineRule="auto"/>
        <w:ind w:firstLine="400" w:firstLineChars="200"/>
        <w:rPr>
          <w:rFonts w:hint="eastAsia" w:ascii="仿宋_GB2312" w:hAnsi="仿宋_GB2312" w:eastAsia="仿宋_GB2312" w:cs="仿宋_GB2312"/>
          <w:kern w:val="0"/>
          <w:sz w:val="20"/>
          <w:szCs w:val="20"/>
          <w:lang w:val="en-US" w:eastAsia="zh-Hans"/>
        </w:rPr>
      </w:pPr>
      <w:r>
        <w:rPr>
          <w:rFonts w:hint="eastAsia" w:ascii="仿宋_GB2312" w:hAnsi="仿宋_GB2312" w:eastAsia="仿宋_GB2312" w:cs="仿宋_GB2312"/>
          <w:kern w:val="0"/>
          <w:sz w:val="20"/>
          <w:szCs w:val="20"/>
          <w:lang w:val="en-US" w:eastAsia="zh-Hans"/>
        </w:rPr>
        <w:t>1、结算单位：采购人结算，在付款前必须开具等额发票给采购人。</w:t>
      </w:r>
    </w:p>
    <w:p w14:paraId="63659AE7">
      <w:pPr>
        <w:snapToGrid w:val="0"/>
        <w:spacing w:line="360" w:lineRule="auto"/>
        <w:ind w:firstLine="400" w:firstLineChars="200"/>
        <w:rPr>
          <w:rFonts w:hint="eastAsia" w:ascii="仿宋_GB2312" w:hAnsi="仿宋_GB2312" w:eastAsia="仿宋_GB2312" w:cs="仿宋_GB2312"/>
          <w:kern w:val="0"/>
          <w:sz w:val="20"/>
          <w:szCs w:val="20"/>
          <w:lang w:val="en-US" w:eastAsia="zh-CN"/>
        </w:rPr>
      </w:pPr>
      <w:r>
        <w:rPr>
          <w:rFonts w:hint="eastAsia" w:ascii="仿宋_GB2312" w:hAnsi="仿宋_GB2312" w:eastAsia="仿宋_GB2312" w:cs="仿宋_GB2312"/>
          <w:kern w:val="0"/>
          <w:sz w:val="20"/>
          <w:szCs w:val="20"/>
          <w:lang w:val="en-US" w:eastAsia="zh-Hans"/>
        </w:rPr>
        <w:t>2、付款方式：无预付款，该项目验收完成后，按照财政资金拨付情况及时支付 ，达到付款条件起30日内，支付合同总金额的100.00%</w:t>
      </w:r>
      <w:r>
        <w:rPr>
          <w:rFonts w:hint="eastAsia" w:ascii="仿宋_GB2312" w:hAnsi="仿宋_GB2312" w:eastAsia="仿宋_GB2312" w:cs="仿宋_GB2312"/>
          <w:kern w:val="0"/>
          <w:sz w:val="20"/>
          <w:szCs w:val="20"/>
          <w:lang w:val="en-US" w:eastAsia="zh-CN"/>
        </w:rPr>
        <w:t>。</w:t>
      </w:r>
    </w:p>
    <w:p w14:paraId="6B37C745">
      <w:pPr>
        <w:snapToGrid w:val="0"/>
        <w:spacing w:line="360" w:lineRule="auto"/>
        <w:ind w:firstLine="400" w:firstLineChars="200"/>
        <w:rPr>
          <w:rFonts w:hint="eastAsia" w:ascii="仿宋_GB2312" w:hAnsi="仿宋_GB2312" w:eastAsia="仿宋_GB2312" w:cs="仿宋_GB2312"/>
          <w:kern w:val="0"/>
          <w:sz w:val="20"/>
          <w:szCs w:val="20"/>
          <w:lang w:val="en-US" w:eastAsia="zh-Hans"/>
        </w:rPr>
      </w:pPr>
      <w:r>
        <w:rPr>
          <w:rFonts w:hint="eastAsia" w:ascii="仿宋_GB2312" w:hAnsi="仿宋_GB2312" w:eastAsia="仿宋_GB2312" w:cs="仿宋_GB2312"/>
          <w:kern w:val="0"/>
          <w:sz w:val="20"/>
          <w:szCs w:val="20"/>
          <w:lang w:val="en-US" w:eastAsia="zh-Hans"/>
        </w:rPr>
        <w:t>3、支付方式：银行转账。</w:t>
      </w:r>
    </w:p>
    <w:p w14:paraId="17516722">
      <w:pPr>
        <w:snapToGrid w:val="0"/>
        <w:spacing w:line="360" w:lineRule="auto"/>
        <w:ind w:firstLine="400" w:firstLineChars="200"/>
        <w:rPr>
          <w:rFonts w:hint="eastAsia" w:ascii="仿宋_GB2312" w:hAnsi="仿宋_GB2312" w:eastAsia="仿宋_GB2312" w:cs="仿宋_GB2312"/>
          <w:kern w:val="0"/>
          <w:sz w:val="20"/>
          <w:szCs w:val="20"/>
          <w:lang w:val="en-US" w:eastAsia="zh-Hans"/>
        </w:rPr>
      </w:pPr>
      <w:r>
        <w:rPr>
          <w:rFonts w:hint="eastAsia" w:ascii="仿宋_GB2312" w:hAnsi="仿宋_GB2312" w:eastAsia="仿宋_GB2312" w:cs="仿宋_GB2312"/>
          <w:kern w:val="0"/>
          <w:sz w:val="20"/>
          <w:szCs w:val="20"/>
          <w:lang w:val="en-US" w:eastAsia="zh-Hans"/>
        </w:rPr>
        <w:t>五、服务期限</w:t>
      </w:r>
    </w:p>
    <w:p w14:paraId="6DE8DF9C">
      <w:pPr>
        <w:snapToGrid w:val="0"/>
        <w:spacing w:line="360" w:lineRule="auto"/>
        <w:ind w:firstLine="400" w:firstLineChars="200"/>
        <w:rPr>
          <w:rFonts w:hint="eastAsia" w:ascii="仿宋_GB2312" w:hAnsi="仿宋_GB2312" w:eastAsia="仿宋_GB2312" w:cs="仿宋_GB2312"/>
          <w:kern w:val="0"/>
          <w:sz w:val="20"/>
          <w:szCs w:val="20"/>
          <w:lang w:val="en-US" w:eastAsia="zh-Hans"/>
        </w:rPr>
      </w:pPr>
      <w:r>
        <w:rPr>
          <w:rFonts w:hint="eastAsia" w:ascii="仿宋_GB2312" w:hAnsi="仿宋_GB2312" w:eastAsia="仿宋_GB2312" w:cs="仿宋_GB2312"/>
          <w:kern w:val="0"/>
          <w:sz w:val="20"/>
          <w:szCs w:val="20"/>
          <w:lang w:val="en-US" w:eastAsia="zh-Hans"/>
        </w:rPr>
        <w:t>自合同签订之日起至2026年6月30日。</w:t>
      </w:r>
    </w:p>
    <w:p w14:paraId="0F77D025">
      <w:pPr>
        <w:snapToGrid w:val="0"/>
        <w:spacing w:line="360" w:lineRule="auto"/>
        <w:ind w:firstLine="392" w:firstLineChars="196"/>
        <w:rPr>
          <w:rFonts w:hint="eastAsia" w:ascii="仿宋_GB2312" w:hAnsi="仿宋_GB2312" w:eastAsia="仿宋_GB2312" w:cs="仿宋_GB2312"/>
          <w:kern w:val="0"/>
          <w:sz w:val="20"/>
          <w:szCs w:val="20"/>
          <w:lang w:val="en-US" w:eastAsia="zh-Hans"/>
        </w:rPr>
      </w:pPr>
      <w:r>
        <w:rPr>
          <w:rFonts w:hint="eastAsia" w:ascii="仿宋_GB2312" w:hAnsi="仿宋_GB2312" w:eastAsia="仿宋_GB2312" w:cs="仿宋_GB2312"/>
          <w:kern w:val="0"/>
          <w:sz w:val="20"/>
          <w:szCs w:val="20"/>
          <w:lang w:val="en-US" w:eastAsia="zh-Hans"/>
        </w:rPr>
        <w:t>六、权利与义务</w:t>
      </w:r>
    </w:p>
    <w:p w14:paraId="2C9ABE56">
      <w:pPr>
        <w:adjustRightInd w:val="0"/>
        <w:snapToGrid w:val="0"/>
        <w:spacing w:line="360" w:lineRule="auto"/>
        <w:ind w:firstLine="400" w:firstLineChars="200"/>
        <w:rPr>
          <w:rFonts w:hint="eastAsia" w:ascii="仿宋_GB2312" w:hAnsi="仿宋_GB2312" w:eastAsia="仿宋_GB2312" w:cs="仿宋_GB2312"/>
          <w:kern w:val="0"/>
          <w:sz w:val="20"/>
          <w:szCs w:val="20"/>
          <w:lang w:val="en-US" w:eastAsia="zh-Hans"/>
        </w:rPr>
      </w:pPr>
      <w:r>
        <w:rPr>
          <w:rFonts w:hint="eastAsia" w:ascii="仿宋_GB2312" w:hAnsi="仿宋_GB2312" w:eastAsia="仿宋_GB2312" w:cs="仿宋_GB2312"/>
          <w:kern w:val="0"/>
          <w:sz w:val="20"/>
          <w:szCs w:val="20"/>
          <w:lang w:val="en-US" w:eastAsia="zh-Hans"/>
        </w:rPr>
        <w:t>（一）甲方的权利和义务</w:t>
      </w:r>
    </w:p>
    <w:p w14:paraId="24F6E095">
      <w:pPr>
        <w:adjustRightInd w:val="0"/>
        <w:snapToGrid w:val="0"/>
        <w:spacing w:line="360" w:lineRule="auto"/>
        <w:ind w:firstLine="396" w:firstLineChars="198"/>
        <w:rPr>
          <w:rFonts w:hint="eastAsia" w:ascii="仿宋_GB2312" w:hAnsi="仿宋_GB2312" w:eastAsia="仿宋_GB2312" w:cs="仿宋_GB2312"/>
          <w:kern w:val="0"/>
          <w:sz w:val="20"/>
          <w:szCs w:val="20"/>
          <w:lang w:val="en-US" w:eastAsia="zh-Hans"/>
        </w:rPr>
      </w:pPr>
      <w:r>
        <w:rPr>
          <w:rFonts w:hint="eastAsia" w:ascii="仿宋_GB2312" w:hAnsi="仿宋_GB2312" w:eastAsia="仿宋_GB2312" w:cs="仿宋_GB2312"/>
          <w:kern w:val="0"/>
          <w:sz w:val="20"/>
          <w:szCs w:val="20"/>
          <w:lang w:val="en-US" w:eastAsia="zh-Hans"/>
        </w:rPr>
        <w:t>1.甲方有权享有乙方按照文件约定提供的服务。</w:t>
      </w:r>
    </w:p>
    <w:p w14:paraId="6EF9E04A">
      <w:pPr>
        <w:adjustRightInd w:val="0"/>
        <w:snapToGrid w:val="0"/>
        <w:spacing w:line="360" w:lineRule="auto"/>
        <w:ind w:firstLine="396" w:firstLineChars="198"/>
        <w:rPr>
          <w:rFonts w:hint="eastAsia" w:ascii="仿宋_GB2312" w:hAnsi="仿宋_GB2312" w:eastAsia="仿宋_GB2312" w:cs="仿宋_GB2312"/>
          <w:kern w:val="0"/>
          <w:sz w:val="20"/>
          <w:szCs w:val="20"/>
          <w:lang w:val="en-US" w:eastAsia="zh-Hans"/>
        </w:rPr>
      </w:pPr>
      <w:r>
        <w:rPr>
          <w:rFonts w:hint="eastAsia" w:ascii="仿宋_GB2312" w:hAnsi="仿宋_GB2312" w:eastAsia="仿宋_GB2312" w:cs="仿宋_GB2312"/>
          <w:kern w:val="0"/>
          <w:sz w:val="20"/>
          <w:szCs w:val="20"/>
          <w:lang w:val="en-US" w:eastAsia="zh-Hans"/>
        </w:rPr>
        <w:t>2.甲方有权要求乙方提供符合本项目服务要求的人员，且提供的服务质量达到前述约定标准。如乙方违反协议约定，未达到服务质量要求的，甲方有权要求乙方限期改正，逾期未改正的或改正后仍给甲方造成损失的，乙方应承担相应的法律责任。</w:t>
      </w:r>
    </w:p>
    <w:p w14:paraId="0A304C34">
      <w:pPr>
        <w:adjustRightInd w:val="0"/>
        <w:snapToGrid w:val="0"/>
        <w:spacing w:line="360" w:lineRule="auto"/>
        <w:ind w:firstLine="396" w:firstLineChars="198"/>
        <w:rPr>
          <w:rFonts w:hint="eastAsia" w:ascii="仿宋_GB2312" w:hAnsi="仿宋_GB2312" w:eastAsia="仿宋_GB2312" w:cs="仿宋_GB2312"/>
          <w:kern w:val="0"/>
          <w:sz w:val="20"/>
          <w:szCs w:val="20"/>
          <w:lang w:val="en-US" w:eastAsia="zh-Hans"/>
        </w:rPr>
      </w:pPr>
      <w:r>
        <w:rPr>
          <w:rFonts w:hint="eastAsia" w:ascii="仿宋_GB2312" w:hAnsi="仿宋_GB2312" w:eastAsia="仿宋_GB2312" w:cs="仿宋_GB2312"/>
          <w:kern w:val="0"/>
          <w:sz w:val="20"/>
          <w:szCs w:val="20"/>
          <w:lang w:val="en-US" w:eastAsia="zh-Hans"/>
        </w:rPr>
        <w:t>3.甲方须按合同约定支付给服务款项。</w:t>
      </w:r>
    </w:p>
    <w:p w14:paraId="51AAD468">
      <w:pPr>
        <w:adjustRightInd w:val="0"/>
        <w:snapToGrid w:val="0"/>
        <w:spacing w:line="360" w:lineRule="auto"/>
        <w:ind w:firstLine="396" w:firstLineChars="198"/>
        <w:rPr>
          <w:rFonts w:hint="eastAsia" w:ascii="仿宋_GB2312" w:hAnsi="仿宋_GB2312" w:eastAsia="仿宋_GB2312" w:cs="仿宋_GB2312"/>
          <w:kern w:val="0"/>
          <w:sz w:val="20"/>
          <w:szCs w:val="20"/>
          <w:lang w:val="en-US" w:eastAsia="zh-Hans"/>
        </w:rPr>
      </w:pPr>
      <w:r>
        <w:rPr>
          <w:rFonts w:hint="eastAsia" w:ascii="仿宋_GB2312" w:hAnsi="仿宋_GB2312" w:eastAsia="仿宋_GB2312" w:cs="仿宋_GB2312"/>
          <w:kern w:val="0"/>
          <w:sz w:val="20"/>
          <w:szCs w:val="20"/>
          <w:lang w:val="en-US" w:eastAsia="zh-Hans"/>
        </w:rPr>
        <w:t>（二）乙方的权利和义务</w:t>
      </w:r>
    </w:p>
    <w:p w14:paraId="2DD2A30F">
      <w:pPr>
        <w:adjustRightInd w:val="0"/>
        <w:snapToGrid w:val="0"/>
        <w:spacing w:line="360" w:lineRule="auto"/>
        <w:ind w:firstLine="396" w:firstLineChars="198"/>
        <w:rPr>
          <w:rFonts w:hint="eastAsia" w:ascii="仿宋_GB2312" w:hAnsi="仿宋_GB2312" w:eastAsia="仿宋_GB2312" w:cs="仿宋_GB2312"/>
          <w:kern w:val="0"/>
          <w:sz w:val="20"/>
          <w:szCs w:val="20"/>
          <w:lang w:val="en-US" w:eastAsia="zh-Hans"/>
        </w:rPr>
      </w:pPr>
      <w:r>
        <w:rPr>
          <w:rFonts w:hint="eastAsia" w:ascii="仿宋_GB2312" w:hAnsi="仿宋_GB2312" w:eastAsia="仿宋_GB2312" w:cs="仿宋_GB2312"/>
          <w:kern w:val="0"/>
          <w:sz w:val="20"/>
          <w:szCs w:val="20"/>
          <w:lang w:val="en-US" w:eastAsia="zh-Hans"/>
        </w:rPr>
        <w:t>1.根据本合同的规定向甲方收取相关服务费用。</w:t>
      </w:r>
    </w:p>
    <w:p w14:paraId="7582B432">
      <w:pPr>
        <w:adjustRightInd w:val="0"/>
        <w:snapToGrid w:val="0"/>
        <w:spacing w:line="360" w:lineRule="auto"/>
        <w:ind w:firstLine="396" w:firstLineChars="198"/>
        <w:rPr>
          <w:rFonts w:hint="eastAsia" w:ascii="仿宋_GB2312" w:hAnsi="仿宋_GB2312" w:eastAsia="仿宋_GB2312" w:cs="仿宋_GB2312"/>
          <w:kern w:val="0"/>
          <w:sz w:val="20"/>
          <w:szCs w:val="20"/>
          <w:lang w:val="en-US" w:eastAsia="zh-Hans"/>
        </w:rPr>
      </w:pPr>
      <w:r>
        <w:rPr>
          <w:rFonts w:hint="eastAsia" w:ascii="仿宋_GB2312" w:hAnsi="仿宋_GB2312" w:eastAsia="仿宋_GB2312" w:cs="仿宋_GB2312"/>
          <w:kern w:val="0"/>
          <w:sz w:val="20"/>
          <w:szCs w:val="20"/>
          <w:lang w:val="en-US" w:eastAsia="zh-Hans"/>
        </w:rPr>
        <w:t>2.按照合同约定向甲方提供服务。</w:t>
      </w:r>
    </w:p>
    <w:p w14:paraId="2468A9DD">
      <w:pPr>
        <w:adjustRightInd w:val="0"/>
        <w:snapToGrid w:val="0"/>
        <w:spacing w:line="360" w:lineRule="auto"/>
        <w:ind w:firstLine="396" w:firstLineChars="198"/>
        <w:rPr>
          <w:rFonts w:hint="eastAsia" w:ascii="仿宋_GB2312" w:hAnsi="仿宋_GB2312" w:eastAsia="仿宋_GB2312" w:cs="仿宋_GB2312"/>
          <w:kern w:val="0"/>
          <w:sz w:val="20"/>
          <w:szCs w:val="20"/>
          <w:lang w:val="en-US" w:eastAsia="zh-Hans"/>
        </w:rPr>
      </w:pPr>
      <w:r>
        <w:rPr>
          <w:rFonts w:hint="eastAsia" w:ascii="仿宋_GB2312" w:hAnsi="仿宋_GB2312" w:eastAsia="仿宋_GB2312" w:cs="仿宋_GB2312"/>
          <w:kern w:val="0"/>
          <w:sz w:val="20"/>
          <w:szCs w:val="20"/>
          <w:lang w:val="en-US" w:eastAsia="zh-Hans"/>
        </w:rPr>
        <w:t>3.严格按照操作规范进行作业。</w:t>
      </w:r>
    </w:p>
    <w:p w14:paraId="654A1DEC">
      <w:pPr>
        <w:adjustRightInd w:val="0"/>
        <w:snapToGrid w:val="0"/>
        <w:spacing w:line="360" w:lineRule="auto"/>
        <w:ind w:firstLine="396" w:firstLineChars="198"/>
        <w:rPr>
          <w:rFonts w:hint="eastAsia" w:ascii="仿宋_GB2312" w:hAnsi="仿宋_GB2312" w:eastAsia="仿宋_GB2312" w:cs="仿宋_GB2312"/>
          <w:kern w:val="0"/>
          <w:sz w:val="20"/>
          <w:szCs w:val="20"/>
          <w:lang w:val="en-US" w:eastAsia="zh-Hans"/>
        </w:rPr>
      </w:pPr>
      <w:r>
        <w:rPr>
          <w:rFonts w:hint="eastAsia" w:ascii="仿宋_GB2312" w:hAnsi="仿宋_GB2312" w:eastAsia="仿宋_GB2312" w:cs="仿宋_GB2312"/>
          <w:kern w:val="0"/>
          <w:sz w:val="20"/>
          <w:szCs w:val="20"/>
          <w:lang w:val="en-US" w:eastAsia="zh-Hans"/>
        </w:rPr>
        <w:t>4.国家法律、法规所规定由乙方承担的其它责任。</w:t>
      </w:r>
    </w:p>
    <w:p w14:paraId="38110A1A">
      <w:pPr>
        <w:tabs>
          <w:tab w:val="left" w:pos="840"/>
        </w:tabs>
        <w:spacing w:line="360" w:lineRule="auto"/>
        <w:ind w:firstLine="392" w:firstLineChars="196"/>
        <w:rPr>
          <w:rFonts w:hint="eastAsia" w:ascii="仿宋_GB2312" w:hAnsi="仿宋_GB2312" w:eastAsia="仿宋_GB2312" w:cs="仿宋_GB2312"/>
          <w:kern w:val="0"/>
          <w:sz w:val="20"/>
          <w:szCs w:val="20"/>
          <w:lang w:val="en-US" w:eastAsia="zh-Hans"/>
        </w:rPr>
      </w:pPr>
      <w:r>
        <w:rPr>
          <w:rFonts w:hint="eastAsia" w:ascii="仿宋_GB2312" w:hAnsi="仿宋_GB2312" w:eastAsia="仿宋_GB2312" w:cs="仿宋_GB2312"/>
          <w:kern w:val="0"/>
          <w:sz w:val="20"/>
          <w:szCs w:val="20"/>
          <w:lang w:val="en-US" w:eastAsia="zh-Hans"/>
        </w:rPr>
        <w:t>七、内容及要求</w:t>
      </w:r>
    </w:p>
    <w:p w14:paraId="515E8E1E">
      <w:pPr>
        <w:spacing w:line="360" w:lineRule="auto"/>
        <w:ind w:firstLine="392" w:firstLineChars="196"/>
        <w:rPr>
          <w:rFonts w:hint="eastAsia" w:ascii="仿宋_GB2312" w:hAnsi="仿宋_GB2312" w:eastAsia="仿宋_GB2312" w:cs="仿宋_GB2312"/>
          <w:kern w:val="0"/>
          <w:sz w:val="20"/>
          <w:szCs w:val="20"/>
          <w:lang w:val="en-US" w:eastAsia="zh-Hans"/>
        </w:rPr>
      </w:pPr>
      <w:r>
        <w:rPr>
          <w:rFonts w:hint="eastAsia" w:ascii="仿宋_GB2312" w:hAnsi="仿宋_GB2312" w:eastAsia="仿宋_GB2312" w:cs="仿宋_GB2312"/>
          <w:kern w:val="0"/>
          <w:sz w:val="20"/>
          <w:szCs w:val="20"/>
          <w:lang w:val="en-US" w:eastAsia="zh-CN"/>
        </w:rPr>
        <w:t>（一）</w:t>
      </w:r>
      <w:r>
        <w:rPr>
          <w:rFonts w:hint="eastAsia" w:ascii="仿宋_GB2312" w:hAnsi="仿宋_GB2312" w:eastAsia="仿宋_GB2312" w:cs="仿宋_GB2312"/>
          <w:kern w:val="0"/>
          <w:sz w:val="20"/>
          <w:szCs w:val="20"/>
          <w:lang w:val="en-US" w:eastAsia="zh-Hans"/>
        </w:rPr>
        <w:t>服务内容（包括工作区域、工作内容等）</w:t>
      </w:r>
    </w:p>
    <w:p w14:paraId="0F56EBC2">
      <w:pPr>
        <w:spacing w:line="360" w:lineRule="auto"/>
        <w:ind w:firstLine="392" w:firstLineChars="196"/>
        <w:rPr>
          <w:rFonts w:hint="eastAsia" w:ascii="仿宋_GB2312" w:hAnsi="仿宋_GB2312" w:eastAsia="仿宋_GB2312" w:cs="仿宋_GB2312"/>
          <w:kern w:val="0"/>
          <w:sz w:val="20"/>
          <w:szCs w:val="20"/>
          <w:lang w:val="en-US" w:eastAsia="zh-Hans"/>
        </w:rPr>
      </w:pPr>
      <w:r>
        <w:rPr>
          <w:rFonts w:hint="eastAsia" w:ascii="仿宋_GB2312" w:hAnsi="仿宋_GB2312" w:eastAsia="仿宋_GB2312" w:cs="仿宋_GB2312"/>
          <w:kern w:val="0"/>
          <w:sz w:val="20"/>
          <w:szCs w:val="20"/>
          <w:lang w:val="en-US" w:eastAsia="zh-Hans"/>
        </w:rPr>
        <w:t>1、工作区域：长安区</w:t>
      </w:r>
    </w:p>
    <w:p w14:paraId="3520EE05">
      <w:pPr>
        <w:spacing w:line="360" w:lineRule="auto"/>
        <w:ind w:firstLine="392" w:firstLineChars="196"/>
        <w:rPr>
          <w:rFonts w:hint="eastAsia" w:ascii="仿宋_GB2312" w:hAnsi="仿宋_GB2312" w:eastAsia="仿宋_GB2312" w:cs="仿宋_GB2312"/>
          <w:kern w:val="0"/>
          <w:sz w:val="20"/>
          <w:szCs w:val="20"/>
          <w:lang w:val="en-US" w:eastAsia="zh-Hans"/>
        </w:rPr>
      </w:pPr>
      <w:r>
        <w:rPr>
          <w:rFonts w:hint="eastAsia" w:ascii="仿宋_GB2312" w:hAnsi="仿宋_GB2312" w:eastAsia="仿宋_GB2312" w:cs="仿宋_GB2312"/>
          <w:kern w:val="0"/>
          <w:sz w:val="20"/>
          <w:szCs w:val="20"/>
          <w:lang w:val="en-US" w:eastAsia="zh-Hans"/>
        </w:rPr>
        <w:t>2、工作内容：</w:t>
      </w:r>
    </w:p>
    <w:p w14:paraId="6D4917FC">
      <w:pPr>
        <w:spacing w:line="360" w:lineRule="auto"/>
        <w:ind w:firstLine="392" w:firstLineChars="196"/>
        <w:rPr>
          <w:rFonts w:hint="eastAsia" w:ascii="仿宋_GB2312" w:hAnsi="仿宋_GB2312" w:eastAsia="仿宋_GB2312" w:cs="仿宋_GB2312"/>
          <w:kern w:val="0"/>
          <w:sz w:val="20"/>
          <w:szCs w:val="20"/>
          <w:lang w:val="en-US" w:eastAsia="zh-Hans"/>
        </w:rPr>
      </w:pPr>
      <w:r>
        <w:rPr>
          <w:rFonts w:hint="eastAsia" w:ascii="仿宋_GB2312" w:hAnsi="仿宋_GB2312" w:eastAsia="仿宋_GB2312" w:cs="仿宋_GB2312"/>
          <w:kern w:val="0"/>
          <w:sz w:val="20"/>
          <w:szCs w:val="20"/>
          <w:lang w:val="en-US" w:eastAsia="zh-Hans"/>
        </w:rPr>
        <w:t>2.1、建设小麦千亩方10个</w:t>
      </w:r>
    </w:p>
    <w:p w14:paraId="2327BCA3">
      <w:pPr>
        <w:spacing w:line="360" w:lineRule="auto"/>
        <w:ind w:firstLine="392" w:firstLineChars="196"/>
        <w:rPr>
          <w:rFonts w:hint="eastAsia" w:ascii="仿宋_GB2312" w:hAnsi="仿宋_GB2312" w:eastAsia="仿宋_GB2312" w:cs="仿宋_GB2312"/>
          <w:kern w:val="0"/>
          <w:sz w:val="20"/>
          <w:szCs w:val="20"/>
          <w:lang w:val="en-US" w:eastAsia="zh-CN"/>
        </w:rPr>
      </w:pPr>
      <w:r>
        <w:rPr>
          <w:rFonts w:hint="eastAsia" w:ascii="仿宋_GB2312" w:hAnsi="仿宋_GB2312" w:eastAsia="仿宋_GB2312" w:cs="仿宋_GB2312"/>
          <w:kern w:val="0"/>
          <w:sz w:val="20"/>
          <w:szCs w:val="20"/>
          <w:lang w:val="en-US" w:eastAsia="zh-CN"/>
        </w:rPr>
        <w:t>开展</w:t>
      </w:r>
      <w:r>
        <w:rPr>
          <w:rFonts w:hint="eastAsia" w:ascii="仿宋_GB2312" w:hAnsi="仿宋_GB2312" w:eastAsia="仿宋_GB2312" w:cs="仿宋_GB2312"/>
          <w:kern w:val="0"/>
          <w:sz w:val="20"/>
          <w:szCs w:val="20"/>
          <w:lang w:val="en-US" w:eastAsia="zh-Hans"/>
        </w:rPr>
        <w:t>小麦春季阔叶除草及喷施植物生长调节剂；开展小麦（冬季或春季）追肥。实施面积1万亩</w:t>
      </w:r>
      <w:r>
        <w:rPr>
          <w:rFonts w:hint="eastAsia" w:ascii="仿宋_GB2312" w:hAnsi="仿宋_GB2312" w:eastAsia="仿宋_GB2312" w:cs="仿宋_GB2312"/>
          <w:kern w:val="0"/>
          <w:sz w:val="20"/>
          <w:szCs w:val="20"/>
          <w:lang w:val="en-US" w:eastAsia="zh-CN"/>
        </w:rPr>
        <w:t>。</w:t>
      </w:r>
    </w:p>
    <w:p w14:paraId="0681957E">
      <w:pPr>
        <w:spacing w:line="360" w:lineRule="auto"/>
        <w:ind w:firstLine="392" w:firstLineChars="196"/>
        <w:rPr>
          <w:rFonts w:hint="eastAsia" w:ascii="仿宋_GB2312" w:hAnsi="仿宋_GB2312" w:eastAsia="仿宋_GB2312" w:cs="仿宋_GB2312"/>
          <w:kern w:val="0"/>
          <w:sz w:val="20"/>
          <w:szCs w:val="20"/>
          <w:lang w:val="en-US" w:eastAsia="zh-Hans"/>
        </w:rPr>
      </w:pPr>
      <w:r>
        <w:rPr>
          <w:rFonts w:hint="eastAsia" w:ascii="仿宋_GB2312" w:hAnsi="仿宋_GB2312" w:eastAsia="仿宋_GB2312" w:cs="仿宋_GB2312"/>
          <w:kern w:val="0"/>
          <w:sz w:val="20"/>
          <w:szCs w:val="20"/>
          <w:lang w:val="en-US" w:eastAsia="zh-Hans"/>
        </w:rPr>
        <w:t>建设1个“三主融合”试验示范技术集成展示样板（配备水肥高效利用装置）。技术服务围绕小麦“宽幅沟播”为核心，选用丰产优质抗病品种，配套深松（翻）整地、合理播期、适量适深播种、水肥微喷、机械镇压、绿色防控、一喷三防、机收减损等高产技术。实施面积0.05万亩；</w:t>
      </w:r>
    </w:p>
    <w:p w14:paraId="30577C75">
      <w:pPr>
        <w:spacing w:line="360" w:lineRule="auto"/>
        <w:ind w:firstLine="392" w:firstLineChars="196"/>
        <w:rPr>
          <w:rFonts w:hint="eastAsia" w:ascii="仿宋_GB2312" w:hAnsi="仿宋_GB2312" w:eastAsia="仿宋_GB2312" w:cs="仿宋_GB2312"/>
          <w:kern w:val="0"/>
          <w:sz w:val="20"/>
          <w:szCs w:val="20"/>
          <w:lang w:val="en-US" w:eastAsia="zh-Hans"/>
        </w:rPr>
      </w:pPr>
      <w:r>
        <w:rPr>
          <w:rFonts w:hint="eastAsia" w:ascii="仿宋_GB2312" w:hAnsi="仿宋_GB2312" w:eastAsia="仿宋_GB2312" w:cs="仿宋_GB2312"/>
          <w:kern w:val="0"/>
          <w:sz w:val="20"/>
          <w:szCs w:val="20"/>
          <w:lang w:val="en-US" w:eastAsia="zh-Hans"/>
        </w:rPr>
        <w:t>2.2、建设小麦万亩片2个</w:t>
      </w:r>
    </w:p>
    <w:p w14:paraId="77889070">
      <w:pPr>
        <w:spacing w:line="360" w:lineRule="auto"/>
        <w:ind w:firstLine="392" w:firstLineChars="196"/>
        <w:rPr>
          <w:rFonts w:hint="eastAsia" w:ascii="仿宋_GB2312" w:hAnsi="仿宋_GB2312" w:eastAsia="仿宋_GB2312" w:cs="仿宋_GB2312"/>
          <w:kern w:val="0"/>
          <w:sz w:val="20"/>
          <w:szCs w:val="20"/>
          <w:lang w:val="en-US" w:eastAsia="zh-Hans"/>
        </w:rPr>
      </w:pPr>
      <w:r>
        <w:rPr>
          <w:rFonts w:hint="eastAsia" w:ascii="仿宋_GB2312" w:hAnsi="仿宋_GB2312" w:eastAsia="仿宋_GB2312" w:cs="仿宋_GB2312"/>
          <w:kern w:val="0"/>
          <w:sz w:val="20"/>
          <w:szCs w:val="20"/>
          <w:lang w:val="en-US" w:eastAsia="zh-CN"/>
        </w:rPr>
        <w:t>开展</w:t>
      </w:r>
      <w:r>
        <w:rPr>
          <w:rFonts w:hint="eastAsia" w:ascii="仿宋_GB2312" w:hAnsi="仿宋_GB2312" w:eastAsia="仿宋_GB2312" w:cs="仿宋_GB2312"/>
          <w:kern w:val="0"/>
          <w:sz w:val="20"/>
          <w:szCs w:val="20"/>
          <w:lang w:val="en-US" w:eastAsia="zh-Hans"/>
        </w:rPr>
        <w:t>小麦春季阔叶除草及喷施植物生长调节剂</w:t>
      </w:r>
      <w:r>
        <w:rPr>
          <w:rFonts w:hint="eastAsia" w:ascii="仿宋_GB2312" w:hAnsi="仿宋_GB2312" w:eastAsia="仿宋_GB2312" w:cs="仿宋_GB2312"/>
          <w:kern w:val="0"/>
          <w:sz w:val="20"/>
          <w:szCs w:val="20"/>
          <w:lang w:val="en-US" w:eastAsia="zh-CN"/>
        </w:rPr>
        <w:t>，</w:t>
      </w:r>
      <w:r>
        <w:rPr>
          <w:rFonts w:hint="eastAsia" w:ascii="仿宋_GB2312" w:hAnsi="仿宋_GB2312" w:eastAsia="仿宋_GB2312" w:cs="仿宋_GB2312"/>
          <w:kern w:val="0"/>
          <w:sz w:val="20"/>
          <w:szCs w:val="20"/>
          <w:lang w:val="en-US" w:eastAsia="zh-Hans"/>
        </w:rPr>
        <w:t>实施面积2万亩。</w:t>
      </w:r>
    </w:p>
    <w:p w14:paraId="127B9669">
      <w:pPr>
        <w:spacing w:line="360" w:lineRule="auto"/>
        <w:ind w:firstLine="392" w:firstLineChars="196"/>
        <w:rPr>
          <w:rFonts w:hint="eastAsia" w:ascii="仿宋_GB2312" w:hAnsi="仿宋_GB2312" w:eastAsia="仿宋_GB2312" w:cs="仿宋_GB2312"/>
          <w:kern w:val="0"/>
          <w:sz w:val="20"/>
          <w:szCs w:val="20"/>
          <w:lang w:val="en-US" w:eastAsia="zh-Hans"/>
        </w:rPr>
      </w:pPr>
      <w:r>
        <w:rPr>
          <w:rFonts w:hint="eastAsia" w:ascii="仿宋_GB2312" w:hAnsi="仿宋_GB2312" w:eastAsia="仿宋_GB2312" w:cs="仿宋_GB2312"/>
          <w:kern w:val="0"/>
          <w:sz w:val="20"/>
          <w:szCs w:val="20"/>
          <w:lang w:val="en-US" w:eastAsia="zh-Hans"/>
        </w:rPr>
        <w:t>三、技术要求（如有，一般适合于技术服务项目）</w:t>
      </w:r>
    </w:p>
    <w:p w14:paraId="30DF4870">
      <w:pPr>
        <w:spacing w:line="360" w:lineRule="auto"/>
        <w:ind w:firstLine="392" w:firstLineChars="196"/>
        <w:rPr>
          <w:rFonts w:hint="eastAsia" w:ascii="仿宋_GB2312" w:hAnsi="仿宋_GB2312" w:eastAsia="仿宋_GB2312" w:cs="仿宋_GB2312"/>
          <w:kern w:val="0"/>
          <w:sz w:val="20"/>
          <w:szCs w:val="20"/>
          <w:highlight w:val="none"/>
          <w:lang w:val="en-US" w:eastAsia="zh-Hans"/>
        </w:rPr>
      </w:pPr>
      <w:r>
        <w:rPr>
          <w:rFonts w:hint="eastAsia" w:ascii="仿宋_GB2312" w:hAnsi="仿宋_GB2312" w:eastAsia="仿宋_GB2312" w:cs="仿宋_GB2312"/>
          <w:kern w:val="0"/>
          <w:sz w:val="20"/>
          <w:szCs w:val="20"/>
          <w:lang w:val="en-US" w:eastAsia="zh-Hans"/>
        </w:rPr>
        <w:t>1、小麦春季阔叶除草及喷施植物生长调节剂选用：50克/升双氟磺草</w:t>
      </w:r>
      <w:r>
        <w:rPr>
          <w:rFonts w:hint="eastAsia" w:ascii="仿宋_GB2312" w:hAnsi="仿宋_GB2312" w:eastAsia="仿宋_GB2312" w:cs="仿宋_GB2312"/>
          <w:kern w:val="0"/>
          <w:sz w:val="20"/>
          <w:szCs w:val="20"/>
          <w:highlight w:val="none"/>
          <w:lang w:val="en-US" w:eastAsia="zh-Hans"/>
        </w:rPr>
        <w:t>胺悬浮剂10克/亩， 0.01%芸苔素10克/亩。</w:t>
      </w:r>
    </w:p>
    <w:p w14:paraId="6EE7933B">
      <w:pPr>
        <w:spacing w:line="360" w:lineRule="auto"/>
        <w:ind w:firstLine="392" w:firstLineChars="196"/>
        <w:rPr>
          <w:rFonts w:hint="eastAsia" w:ascii="仿宋_GB2312" w:hAnsi="仿宋_GB2312" w:eastAsia="仿宋_GB2312" w:cs="仿宋_GB2312"/>
          <w:kern w:val="0"/>
          <w:sz w:val="20"/>
          <w:szCs w:val="20"/>
          <w:lang w:val="en-US" w:eastAsia="zh-Hans"/>
        </w:rPr>
      </w:pPr>
      <w:r>
        <w:rPr>
          <w:rFonts w:hint="eastAsia" w:ascii="仿宋_GB2312" w:hAnsi="仿宋_GB2312" w:eastAsia="仿宋_GB2312" w:cs="仿宋_GB2312"/>
          <w:kern w:val="0"/>
          <w:sz w:val="20"/>
          <w:szCs w:val="20"/>
          <w:lang w:val="en-US" w:eastAsia="zh-Hans"/>
        </w:rPr>
        <w:t>2、小麦冬季或春季追肥：每亩追施尿素10公斤，尿素执行国家标准: GB/T2440-2017，尿素总氮（N）的质量分数不低于46.0%。</w:t>
      </w:r>
    </w:p>
    <w:p w14:paraId="7F54100F">
      <w:pPr>
        <w:spacing w:line="360" w:lineRule="auto"/>
        <w:ind w:firstLine="392" w:firstLineChars="196"/>
        <w:rPr>
          <w:rFonts w:hint="eastAsia" w:ascii="仿宋_GB2312" w:hAnsi="仿宋_GB2312" w:eastAsia="仿宋_GB2312" w:cs="仿宋_GB2312"/>
          <w:kern w:val="0"/>
          <w:sz w:val="20"/>
          <w:szCs w:val="20"/>
          <w:lang w:val="en-US" w:eastAsia="zh-Hans"/>
        </w:rPr>
      </w:pPr>
      <w:r>
        <w:rPr>
          <w:rFonts w:hint="eastAsia" w:ascii="仿宋_GB2312" w:hAnsi="仿宋_GB2312" w:eastAsia="仿宋_GB2312" w:cs="仿宋_GB2312"/>
          <w:kern w:val="0"/>
          <w:sz w:val="20"/>
          <w:szCs w:val="20"/>
          <w:lang w:val="en-US" w:eastAsia="zh-Hans"/>
        </w:rPr>
        <w:t>3、1个“三主融合”试验示范技术集成展示样板：</w:t>
      </w:r>
    </w:p>
    <w:p w14:paraId="0ED803B3">
      <w:pPr>
        <w:spacing w:line="360" w:lineRule="auto"/>
        <w:ind w:firstLine="392" w:firstLineChars="196"/>
        <w:rPr>
          <w:rFonts w:hint="eastAsia" w:ascii="仿宋_GB2312" w:hAnsi="仿宋_GB2312" w:eastAsia="仿宋_GB2312" w:cs="仿宋_GB2312"/>
          <w:kern w:val="0"/>
          <w:sz w:val="20"/>
          <w:szCs w:val="20"/>
          <w:highlight w:val="none"/>
          <w:lang w:val="en-US" w:eastAsia="zh-Hans"/>
        </w:rPr>
      </w:pPr>
      <w:r>
        <w:rPr>
          <w:rFonts w:hint="eastAsia" w:ascii="仿宋_GB2312" w:hAnsi="仿宋_GB2312" w:eastAsia="仿宋_GB2312" w:cs="仿宋_GB2312"/>
          <w:kern w:val="0"/>
          <w:sz w:val="20"/>
          <w:szCs w:val="20"/>
          <w:highlight w:val="none"/>
          <w:lang w:val="en-US" w:eastAsia="zh-Hans"/>
        </w:rPr>
        <w:t>内容主要围绕“三主融合”， 集成一套可复制、可推广、标准化的技术模式，具体为：选用丰产优质抗病品种，配套深松（翻）整地、合理播期、适量适深播种、水肥微喷、机械镇压、绿色防控、一喷三防、机收减损等高产技术。</w:t>
      </w:r>
    </w:p>
    <w:p w14:paraId="5B808640">
      <w:pPr>
        <w:spacing w:line="360" w:lineRule="auto"/>
        <w:ind w:firstLine="392" w:firstLineChars="196"/>
        <w:rPr>
          <w:rFonts w:hint="eastAsia" w:ascii="仿宋_GB2312" w:hAnsi="仿宋_GB2312" w:eastAsia="仿宋_GB2312" w:cs="仿宋_GB2312"/>
          <w:kern w:val="0"/>
          <w:sz w:val="20"/>
          <w:szCs w:val="20"/>
          <w:lang w:val="en-US" w:eastAsia="zh-Hans"/>
        </w:rPr>
      </w:pPr>
      <w:r>
        <w:rPr>
          <w:rFonts w:hint="eastAsia" w:ascii="仿宋_GB2312" w:hAnsi="仿宋_GB2312" w:eastAsia="仿宋_GB2312" w:cs="仿宋_GB2312"/>
          <w:kern w:val="0"/>
          <w:sz w:val="20"/>
          <w:szCs w:val="20"/>
          <w:lang w:val="en-US" w:eastAsia="zh-Hans"/>
        </w:rPr>
        <w:t>4、防治器械可选用大型自走式喷杆喷雾机，植保无人机等。</w:t>
      </w:r>
    </w:p>
    <w:p w14:paraId="4373C435">
      <w:pPr>
        <w:spacing w:line="360" w:lineRule="auto"/>
        <w:ind w:firstLine="392" w:firstLineChars="196"/>
        <w:rPr>
          <w:rFonts w:hint="eastAsia" w:ascii="仿宋_GB2312" w:hAnsi="仿宋_GB2312" w:eastAsia="仿宋_GB2312" w:cs="仿宋_GB2312"/>
          <w:kern w:val="0"/>
          <w:sz w:val="20"/>
          <w:szCs w:val="20"/>
          <w:lang w:val="en-US" w:eastAsia="zh-Hans"/>
        </w:rPr>
      </w:pPr>
      <w:r>
        <w:rPr>
          <w:rFonts w:hint="eastAsia" w:ascii="仿宋_GB2312" w:hAnsi="仿宋_GB2312" w:eastAsia="仿宋_GB2312" w:cs="仿宋_GB2312"/>
          <w:kern w:val="0"/>
          <w:sz w:val="20"/>
          <w:szCs w:val="20"/>
          <w:lang w:val="en-US" w:eastAsia="zh-Hans"/>
        </w:rPr>
        <w:t>5、小麦防治作业时效果达到85%以上，追施尿素时喷撒均匀。无漏喷、漏撒。</w:t>
      </w:r>
    </w:p>
    <w:p w14:paraId="0368B511">
      <w:pPr>
        <w:spacing w:line="360" w:lineRule="auto"/>
        <w:ind w:firstLine="392" w:firstLineChars="196"/>
        <w:rPr>
          <w:rFonts w:hint="eastAsia" w:ascii="仿宋_GB2312" w:hAnsi="仿宋_GB2312" w:eastAsia="仿宋_GB2312" w:cs="仿宋_GB2312"/>
          <w:kern w:val="0"/>
          <w:sz w:val="20"/>
          <w:szCs w:val="20"/>
          <w:lang w:val="en-US" w:eastAsia="zh-Hans"/>
        </w:rPr>
      </w:pPr>
      <w:r>
        <w:rPr>
          <w:rFonts w:hint="eastAsia" w:ascii="仿宋_GB2312" w:hAnsi="仿宋_GB2312" w:eastAsia="仿宋_GB2312" w:cs="仿宋_GB2312"/>
          <w:kern w:val="0"/>
          <w:sz w:val="20"/>
          <w:szCs w:val="20"/>
          <w:lang w:val="en-US" w:eastAsia="zh-Hans"/>
        </w:rPr>
        <w:t>6、作业组织采用植保部门要求的药剂，所有药剂必须符合国家的“三证”要求。</w:t>
      </w:r>
    </w:p>
    <w:p w14:paraId="21833B30">
      <w:pPr>
        <w:spacing w:line="360" w:lineRule="auto"/>
        <w:ind w:firstLine="392" w:firstLineChars="196"/>
        <w:rPr>
          <w:rFonts w:hint="eastAsia" w:ascii="仿宋_GB2312" w:hAnsi="仿宋_GB2312" w:eastAsia="仿宋_GB2312" w:cs="仿宋_GB2312"/>
          <w:kern w:val="0"/>
          <w:sz w:val="20"/>
          <w:szCs w:val="20"/>
          <w:lang w:val="en-US" w:eastAsia="zh-Hans"/>
        </w:rPr>
      </w:pPr>
      <w:r>
        <w:rPr>
          <w:rFonts w:hint="eastAsia" w:ascii="仿宋_GB2312" w:hAnsi="仿宋_GB2312" w:eastAsia="仿宋_GB2312" w:cs="仿宋_GB2312"/>
          <w:kern w:val="0"/>
          <w:sz w:val="20"/>
          <w:szCs w:val="20"/>
          <w:lang w:val="en-US" w:eastAsia="zh-Hans"/>
        </w:rPr>
        <w:t>八、合同争议的解决</w:t>
      </w:r>
    </w:p>
    <w:p w14:paraId="20B13E78">
      <w:pPr>
        <w:spacing w:line="360" w:lineRule="auto"/>
        <w:ind w:firstLine="400" w:firstLineChars="200"/>
        <w:rPr>
          <w:rFonts w:hint="eastAsia" w:ascii="仿宋_GB2312" w:hAnsi="仿宋_GB2312" w:eastAsia="仿宋_GB2312" w:cs="仿宋_GB2312"/>
          <w:kern w:val="0"/>
          <w:sz w:val="20"/>
          <w:szCs w:val="20"/>
          <w:lang w:val="en-US" w:eastAsia="zh-Hans"/>
        </w:rPr>
      </w:pPr>
      <w:r>
        <w:rPr>
          <w:rFonts w:hint="eastAsia" w:ascii="仿宋_GB2312" w:hAnsi="仿宋_GB2312" w:eastAsia="仿宋_GB2312" w:cs="仿宋_GB2312"/>
          <w:kern w:val="0"/>
          <w:sz w:val="20"/>
          <w:szCs w:val="20"/>
          <w:lang w:val="en-US" w:eastAsia="zh-Hans"/>
        </w:rPr>
        <w:t>合同执行中发生争议的，当事人双方应协商解决，协商达不成一致时，可向当地人民法院直接提请诉讼。</w:t>
      </w:r>
    </w:p>
    <w:p w14:paraId="3A4250A4">
      <w:pPr>
        <w:spacing w:line="360" w:lineRule="auto"/>
        <w:ind w:firstLine="392" w:firstLineChars="196"/>
        <w:rPr>
          <w:rFonts w:hint="eastAsia" w:ascii="仿宋_GB2312" w:hAnsi="仿宋_GB2312" w:eastAsia="仿宋_GB2312" w:cs="仿宋_GB2312"/>
          <w:kern w:val="0"/>
          <w:sz w:val="20"/>
          <w:szCs w:val="20"/>
          <w:lang w:val="en-US" w:eastAsia="zh-Hans"/>
        </w:rPr>
      </w:pPr>
      <w:r>
        <w:rPr>
          <w:rFonts w:hint="eastAsia" w:ascii="仿宋_GB2312" w:hAnsi="仿宋_GB2312" w:eastAsia="仿宋_GB2312" w:cs="仿宋_GB2312"/>
          <w:kern w:val="0"/>
          <w:sz w:val="20"/>
          <w:szCs w:val="20"/>
          <w:lang w:val="en-US" w:eastAsia="zh-Hans"/>
        </w:rPr>
        <w:t>九、合同一经签订，不得擅自变更、中止或者终止合同。对确需变更、调整或者中止、终止合同的，应按规定履行相应的手续。</w:t>
      </w:r>
    </w:p>
    <w:p w14:paraId="4FFB7977">
      <w:pPr>
        <w:spacing w:line="360" w:lineRule="auto"/>
        <w:ind w:firstLine="392" w:firstLineChars="196"/>
        <w:rPr>
          <w:rFonts w:hint="eastAsia" w:ascii="仿宋_GB2312" w:hAnsi="仿宋_GB2312" w:eastAsia="仿宋_GB2312" w:cs="仿宋_GB2312"/>
          <w:kern w:val="0"/>
          <w:sz w:val="20"/>
          <w:szCs w:val="20"/>
          <w:lang w:val="en-US" w:eastAsia="zh-Hans"/>
        </w:rPr>
      </w:pPr>
      <w:r>
        <w:rPr>
          <w:rFonts w:hint="eastAsia" w:ascii="仿宋_GB2312" w:hAnsi="仿宋_GB2312" w:eastAsia="仿宋_GB2312" w:cs="仿宋_GB2312"/>
          <w:kern w:val="0"/>
          <w:sz w:val="20"/>
          <w:szCs w:val="20"/>
          <w:lang w:val="en-US" w:eastAsia="zh-Hans"/>
        </w:rPr>
        <w:t>十、违约责任</w:t>
      </w:r>
    </w:p>
    <w:p w14:paraId="516E05CA">
      <w:pPr>
        <w:spacing w:line="360" w:lineRule="auto"/>
        <w:ind w:firstLine="400" w:firstLineChars="200"/>
        <w:rPr>
          <w:rFonts w:hint="eastAsia" w:ascii="仿宋_GB2312" w:hAnsi="仿宋_GB2312" w:eastAsia="仿宋_GB2312" w:cs="仿宋_GB2312"/>
          <w:kern w:val="0"/>
          <w:sz w:val="20"/>
          <w:szCs w:val="20"/>
          <w:lang w:val="en-US" w:eastAsia="zh-Hans"/>
        </w:rPr>
      </w:pPr>
      <w:r>
        <w:rPr>
          <w:rFonts w:hint="eastAsia" w:ascii="仿宋_GB2312" w:hAnsi="仿宋_GB2312" w:eastAsia="仿宋_GB2312" w:cs="仿宋_GB2312"/>
          <w:kern w:val="0"/>
          <w:sz w:val="20"/>
          <w:szCs w:val="20"/>
          <w:lang w:val="en-US" w:eastAsia="zh-Hans"/>
        </w:rPr>
        <w:t>①如中标方作业效果不佳应组织免费重新作业。</w:t>
      </w:r>
    </w:p>
    <w:p w14:paraId="51A26E5D">
      <w:pPr>
        <w:spacing w:line="360" w:lineRule="auto"/>
        <w:ind w:firstLine="400" w:firstLineChars="200"/>
        <w:rPr>
          <w:rFonts w:hint="eastAsia" w:ascii="仿宋_GB2312" w:hAnsi="仿宋_GB2312" w:eastAsia="仿宋_GB2312" w:cs="仿宋_GB2312"/>
          <w:kern w:val="0"/>
          <w:sz w:val="20"/>
          <w:szCs w:val="20"/>
          <w:lang w:val="en-US" w:eastAsia="zh-Hans"/>
        </w:rPr>
      </w:pPr>
      <w:r>
        <w:rPr>
          <w:rFonts w:hint="eastAsia" w:ascii="仿宋_GB2312" w:hAnsi="仿宋_GB2312" w:eastAsia="仿宋_GB2312" w:cs="仿宋_GB2312"/>
          <w:kern w:val="0"/>
          <w:sz w:val="20"/>
          <w:szCs w:val="20"/>
          <w:lang w:val="en-US" w:eastAsia="zh-Hans"/>
        </w:rPr>
        <w:t>②如中标方作业不力或遗误，产生的经济损失由中标方承担。</w:t>
      </w:r>
    </w:p>
    <w:p w14:paraId="53084F40">
      <w:pPr>
        <w:spacing w:line="360" w:lineRule="auto"/>
        <w:ind w:firstLine="400" w:firstLineChars="200"/>
        <w:rPr>
          <w:rFonts w:hint="eastAsia" w:ascii="仿宋_GB2312" w:hAnsi="仿宋_GB2312" w:eastAsia="仿宋_GB2312" w:cs="仿宋_GB2312"/>
          <w:kern w:val="0"/>
          <w:sz w:val="20"/>
          <w:szCs w:val="20"/>
          <w:lang w:val="en-US" w:eastAsia="zh-Hans"/>
        </w:rPr>
      </w:pPr>
      <w:r>
        <w:rPr>
          <w:rFonts w:hint="eastAsia" w:ascii="仿宋_GB2312" w:hAnsi="仿宋_GB2312" w:eastAsia="仿宋_GB2312" w:cs="仿宋_GB2312"/>
          <w:kern w:val="0"/>
          <w:sz w:val="20"/>
          <w:szCs w:val="20"/>
          <w:lang w:val="en-US" w:eastAsia="zh-Hans"/>
        </w:rPr>
        <w:t>③依据《中华人民共和国民法典》、《中华人民共和国政府采购法》、《中华人民共和国政府采购法实施条例》的相关条款和本合同约定，中标供应商未全面履行合同义务或者发生违约，采购单位会同采购代理机构有权终止合同，依法向中标供应商进行经济索赔，并报请政府采购监督管理机关进行相应的行政处罚。采购单位违约的，应当赔偿给中标供应商造成的经济损失。</w:t>
      </w:r>
    </w:p>
    <w:p w14:paraId="0B02C597">
      <w:pPr>
        <w:spacing w:line="360" w:lineRule="auto"/>
        <w:ind w:firstLine="392" w:firstLineChars="196"/>
        <w:rPr>
          <w:rFonts w:hint="eastAsia" w:ascii="仿宋_GB2312" w:hAnsi="仿宋_GB2312" w:eastAsia="仿宋_GB2312" w:cs="仿宋_GB2312"/>
          <w:kern w:val="0"/>
          <w:sz w:val="20"/>
          <w:szCs w:val="20"/>
          <w:lang w:val="en-US" w:eastAsia="zh-Hans"/>
        </w:rPr>
      </w:pPr>
      <w:r>
        <w:rPr>
          <w:rFonts w:hint="eastAsia" w:ascii="仿宋_GB2312" w:hAnsi="仿宋_GB2312" w:eastAsia="仿宋_GB2312" w:cs="仿宋_GB2312"/>
          <w:kern w:val="0"/>
          <w:sz w:val="20"/>
          <w:szCs w:val="20"/>
          <w:lang w:val="en-US" w:eastAsia="zh-Hans"/>
        </w:rPr>
        <w:t>十一、合同订立</w:t>
      </w:r>
    </w:p>
    <w:p w14:paraId="5C1D75FB">
      <w:pPr>
        <w:snapToGrid w:val="0"/>
        <w:spacing w:line="360" w:lineRule="auto"/>
        <w:ind w:firstLine="396" w:firstLineChars="198"/>
        <w:rPr>
          <w:rFonts w:hint="eastAsia" w:ascii="仿宋_GB2312" w:hAnsi="仿宋_GB2312" w:eastAsia="仿宋_GB2312" w:cs="仿宋_GB2312"/>
          <w:kern w:val="0"/>
          <w:sz w:val="20"/>
          <w:szCs w:val="20"/>
          <w:lang w:val="en-US" w:eastAsia="zh-Hans"/>
        </w:rPr>
      </w:pPr>
      <w:r>
        <w:rPr>
          <w:rFonts w:hint="eastAsia" w:ascii="仿宋_GB2312" w:hAnsi="仿宋_GB2312" w:eastAsia="仿宋_GB2312" w:cs="仿宋_GB2312"/>
          <w:kern w:val="0"/>
          <w:sz w:val="20"/>
          <w:szCs w:val="20"/>
          <w:lang w:val="en-US" w:eastAsia="zh-Hans"/>
        </w:rPr>
        <w:t xml:space="preserve">1. 订立时间：     年    月     日 </w:t>
      </w:r>
    </w:p>
    <w:p w14:paraId="021867DA">
      <w:pPr>
        <w:snapToGrid w:val="0"/>
        <w:spacing w:line="360" w:lineRule="auto"/>
        <w:ind w:firstLine="396" w:firstLineChars="198"/>
        <w:rPr>
          <w:rFonts w:hint="eastAsia" w:ascii="仿宋_GB2312" w:hAnsi="仿宋_GB2312" w:eastAsia="仿宋_GB2312" w:cs="仿宋_GB2312"/>
          <w:kern w:val="0"/>
          <w:sz w:val="20"/>
          <w:szCs w:val="20"/>
          <w:lang w:val="en-US" w:eastAsia="zh-Hans"/>
        </w:rPr>
      </w:pPr>
      <w:r>
        <w:rPr>
          <w:rFonts w:hint="eastAsia" w:ascii="仿宋_GB2312" w:hAnsi="仿宋_GB2312" w:eastAsia="仿宋_GB2312" w:cs="仿宋_GB2312"/>
          <w:kern w:val="0"/>
          <w:sz w:val="20"/>
          <w:szCs w:val="20"/>
          <w:lang w:val="en-US" w:eastAsia="zh-Hans"/>
        </w:rPr>
        <w:t>2. 订立地点：</w:t>
      </w:r>
      <w:bookmarkStart w:id="0" w:name="_Hlk186034317"/>
      <w:r>
        <w:rPr>
          <w:rFonts w:hint="eastAsia" w:ascii="仿宋_GB2312" w:hAnsi="仿宋_GB2312" w:eastAsia="仿宋_GB2312" w:cs="仿宋_GB2312"/>
          <w:kern w:val="0"/>
          <w:sz w:val="20"/>
          <w:szCs w:val="20"/>
          <w:lang w:val="en-US" w:eastAsia="zh-Hans"/>
        </w:rPr>
        <w:t>西安市长安区农业技术推广中心</w:t>
      </w:r>
      <w:bookmarkEnd w:id="0"/>
    </w:p>
    <w:p w14:paraId="31082DA5">
      <w:pPr>
        <w:tabs>
          <w:tab w:val="left" w:pos="980"/>
        </w:tabs>
        <w:kinsoku w:val="0"/>
        <w:spacing w:line="360" w:lineRule="auto"/>
        <w:ind w:firstLine="400" w:firstLineChars="200"/>
        <w:rPr>
          <w:rFonts w:hint="eastAsia" w:ascii="仿宋_GB2312" w:hAnsi="仿宋_GB2312" w:eastAsia="仿宋_GB2312" w:cs="仿宋_GB2312"/>
          <w:kern w:val="0"/>
          <w:sz w:val="20"/>
          <w:szCs w:val="20"/>
          <w:lang w:val="en-US" w:eastAsia="zh-Hans"/>
        </w:rPr>
      </w:pPr>
      <w:r>
        <w:rPr>
          <w:rFonts w:hint="eastAsia" w:ascii="仿宋_GB2312" w:hAnsi="仿宋_GB2312" w:eastAsia="仿宋_GB2312" w:cs="仿宋_GB2312"/>
          <w:kern w:val="0"/>
          <w:sz w:val="20"/>
          <w:szCs w:val="20"/>
          <w:lang w:val="en-US" w:eastAsia="zh-Hans"/>
        </w:rPr>
        <w:t>3. 本合同一式 肆 份，具有同等法律效力，双方各执 贰 份，自方签字盖章后生效，合同执行完毕自动失效。</w:t>
      </w:r>
    </w:p>
    <w:p w14:paraId="7FACBCC8">
      <w:pPr>
        <w:snapToGrid w:val="0"/>
        <w:spacing w:line="360" w:lineRule="auto"/>
        <w:ind w:firstLine="396" w:firstLineChars="198"/>
        <w:rPr>
          <w:rFonts w:hint="eastAsia" w:ascii="仿宋_GB2312" w:hAnsi="仿宋_GB2312" w:eastAsia="仿宋_GB2312" w:cs="仿宋_GB2312"/>
          <w:kern w:val="0"/>
          <w:sz w:val="20"/>
          <w:szCs w:val="20"/>
          <w:lang w:val="en-US" w:eastAsia="zh-Hans"/>
        </w:rPr>
      </w:pPr>
    </w:p>
    <w:tbl>
      <w:tblPr>
        <w:tblStyle w:val="3"/>
        <w:tblW w:w="8419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31"/>
        <w:gridCol w:w="4288"/>
      </w:tblGrid>
      <w:tr w14:paraId="00143F9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5" w:hRule="atLeast"/>
          <w:jc w:val="center"/>
        </w:trPr>
        <w:tc>
          <w:tcPr>
            <w:tcW w:w="4131" w:type="dxa"/>
            <w:noWrap w:val="0"/>
            <w:vAlign w:val="top"/>
          </w:tcPr>
          <w:p w14:paraId="79CC4456">
            <w:pPr>
              <w:snapToGrid w:val="0"/>
              <w:spacing w:line="360" w:lineRule="auto"/>
              <w:ind w:firstLine="400" w:firstLineChars="200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Hans"/>
              </w:rPr>
              <w:t xml:space="preserve">采购人（盖章）：                    </w:t>
            </w:r>
          </w:p>
          <w:p w14:paraId="597C0524">
            <w:pPr>
              <w:snapToGrid w:val="0"/>
              <w:spacing w:line="360" w:lineRule="auto"/>
              <w:ind w:firstLine="400" w:firstLineChars="200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Hans"/>
              </w:rPr>
              <w:t>邮政编码：</w:t>
            </w:r>
          </w:p>
          <w:p w14:paraId="755EA0FF">
            <w:pPr>
              <w:snapToGrid w:val="0"/>
              <w:spacing w:line="360" w:lineRule="auto"/>
              <w:ind w:firstLine="400" w:firstLineChars="200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Hans"/>
              </w:rPr>
              <w:t>法定代表人或其授权</w:t>
            </w:r>
          </w:p>
          <w:p w14:paraId="452FEF93">
            <w:pPr>
              <w:snapToGrid w:val="0"/>
              <w:spacing w:line="360" w:lineRule="auto"/>
              <w:ind w:firstLine="400" w:firstLineChars="200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Hans"/>
              </w:rPr>
              <w:t>的代理人（签字）：</w:t>
            </w:r>
          </w:p>
          <w:p w14:paraId="13EC7970">
            <w:pPr>
              <w:snapToGrid w:val="0"/>
              <w:spacing w:line="360" w:lineRule="auto"/>
              <w:ind w:firstLine="400" w:firstLineChars="200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Hans"/>
              </w:rPr>
              <w:t>开户银行：</w:t>
            </w:r>
          </w:p>
          <w:p w14:paraId="267B4FAC">
            <w:pPr>
              <w:snapToGrid w:val="0"/>
              <w:spacing w:line="360" w:lineRule="auto"/>
              <w:ind w:firstLine="400" w:firstLineChars="200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Hans"/>
              </w:rPr>
              <w:t>账    号：</w:t>
            </w:r>
          </w:p>
          <w:p w14:paraId="23CCDA5A">
            <w:pPr>
              <w:snapToGrid w:val="0"/>
              <w:spacing w:line="360" w:lineRule="auto"/>
              <w:ind w:firstLine="400" w:firstLineChars="200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Hans"/>
              </w:rPr>
              <w:t>电    话：</w:t>
            </w:r>
          </w:p>
          <w:p w14:paraId="6F001AD1">
            <w:pPr>
              <w:snapToGrid w:val="0"/>
              <w:spacing w:line="360" w:lineRule="auto"/>
              <w:ind w:firstLine="400" w:firstLineChars="200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Hans"/>
              </w:rPr>
              <w:t>日    期：</w:t>
            </w:r>
          </w:p>
        </w:tc>
        <w:tc>
          <w:tcPr>
            <w:tcW w:w="4288" w:type="dxa"/>
            <w:noWrap w:val="0"/>
            <w:vAlign w:val="top"/>
          </w:tcPr>
          <w:p w14:paraId="7D723BC9">
            <w:pPr>
              <w:snapToGrid w:val="0"/>
              <w:spacing w:line="360" w:lineRule="auto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Hans"/>
              </w:rPr>
              <w:t xml:space="preserve">供应商（盖章）：                       </w:t>
            </w:r>
          </w:p>
          <w:p w14:paraId="3EF3A53B">
            <w:pPr>
              <w:snapToGrid w:val="0"/>
              <w:spacing w:line="360" w:lineRule="auto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Hans"/>
              </w:rPr>
            </w:pPr>
            <w:bookmarkStart w:id="1" w:name="OLE_LINK2"/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Hans"/>
              </w:rPr>
              <w:t>邮政编码：</w:t>
            </w:r>
          </w:p>
          <w:p w14:paraId="6F25EFA6">
            <w:pPr>
              <w:snapToGrid w:val="0"/>
              <w:spacing w:line="360" w:lineRule="auto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Hans"/>
              </w:rPr>
              <w:t>法定代表人或其授权</w:t>
            </w:r>
          </w:p>
          <w:p w14:paraId="5BD774D0">
            <w:pPr>
              <w:snapToGrid w:val="0"/>
              <w:spacing w:line="360" w:lineRule="auto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Hans"/>
              </w:rPr>
              <w:t>的代理人（签字）：</w:t>
            </w:r>
            <w:bookmarkEnd w:id="1"/>
          </w:p>
          <w:p w14:paraId="687DC9DD">
            <w:pPr>
              <w:snapToGrid w:val="0"/>
              <w:spacing w:line="360" w:lineRule="auto"/>
              <w:ind w:left="1200" w:hanging="1000" w:hangingChars="500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Hans"/>
              </w:rPr>
              <w:t xml:space="preserve">开户银行： </w:t>
            </w:r>
          </w:p>
          <w:p w14:paraId="11331935">
            <w:pPr>
              <w:snapToGrid w:val="0"/>
              <w:spacing w:line="360" w:lineRule="auto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Hans"/>
              </w:rPr>
              <w:t>账    号：</w:t>
            </w:r>
          </w:p>
          <w:p w14:paraId="0687822A">
            <w:pPr>
              <w:snapToGrid w:val="0"/>
              <w:spacing w:line="360" w:lineRule="auto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Hans"/>
              </w:rPr>
              <w:t>电    话：</w:t>
            </w:r>
          </w:p>
          <w:p w14:paraId="4043C607">
            <w:pPr>
              <w:snapToGrid w:val="0"/>
              <w:spacing w:line="360" w:lineRule="auto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Hans"/>
              </w:rPr>
              <w:t>日    期：</w:t>
            </w:r>
          </w:p>
        </w:tc>
      </w:tr>
    </w:tbl>
    <w:p w14:paraId="397A6E73">
      <w:r>
        <w:rPr>
          <w:rFonts w:ascii="仿宋_GB2312" w:hAnsi="仿宋_GB2312" w:eastAsia="仿宋_GB2312" w:cs="仿宋_GB2312"/>
        </w:rPr>
        <w:t xml:space="preserve"> </w:t>
      </w:r>
      <w:r>
        <w:rPr>
          <w:rFonts w:ascii="仿宋_GB2312" w:hAnsi="仿宋_GB2312" w:eastAsia="仿宋_GB2312" w:cs="仿宋_GB2312"/>
        </w:rPr>
        <w:br w:type="textWrapping"/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KSOFE44F9426">
    <w:panose1 w:val="02010609060101010101"/>
    <w:charset w:val="86"/>
    <w:family w:val="auto"/>
    <w:pitch w:val="default"/>
    <w:sig w:usb0="00000001" w:usb1="00000000" w:usb2="00000000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2003185"/>
    <w:rsid w:val="020031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">
    <w:name w:val="null3"/>
    <w:qFormat/>
    <w:uiPriority w:val="0"/>
    <w:rPr>
      <w:rFonts w:hint="eastAsia" w:ascii="Calibri" w:hAnsi="Calibri" w:eastAsia="宋体" w:cs="Times New Roman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2026-01-27T06:54:00Z</dcterms:created>
  <dc:creator>dandelion</dc:creator>
  <cp:lastModifiedBy>dandelion</cp:lastModifiedBy>
  <dcterms:modified xsi:type="dcterms:W3CDTF">2026-01-27T06:55:44Z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91B533225B29400AA236A1FEF0E1E30A_11</vt:lpwstr>
  </property>
  <property fmtid="{D5CDD505-2E9C-101B-9397-08002B2CF9AE}" pid="4" name="KSOTemplateDocerSaveRecord">
    <vt:lpwstr>eyJoZGlkIjoiNTdmYjAzZGEwNTI0ZjllNjlhNjc1OTc4MTkyOTkwMmUiLCJ1c2VySWQiOiI0Mjc5NDY2NDEifQ==</vt:lpwstr>
  </property>
</Properties>
</file>