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版本号：JWTDZX-ZB26010520260107001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太乙宫街道沙场村2024年省级“千万工程”示范村项目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JWTDZX-ZB260105</w:t>
      </w:r>
      <w:r>
        <w:br/>
      </w:r>
      <w:r>
        <w:br/>
      </w:r>
      <w:r>
        <w:br/>
      </w:r>
    </w:p>
    <w:p>
      <w:pPr>
        <w:pStyle w:val="null3"/>
        <w:jc w:val="center"/>
        <w:outlineLvl w:val="2"/>
      </w:pPr>
      <w:r>
        <w:rPr>
          <w:rFonts w:ascii="仿宋_GB2312" w:hAnsi="仿宋_GB2312" w:cs="仿宋_GB2312" w:eastAsia="仿宋_GB2312"/>
          <w:sz w:val="28"/>
          <w:b/>
        </w:rPr>
        <w:t>西安市长安区太乙宫街道办事处</w:t>
      </w:r>
    </w:p>
    <w:p>
      <w:pPr>
        <w:pStyle w:val="null3"/>
        <w:jc w:val="center"/>
        <w:outlineLvl w:val="2"/>
      </w:pPr>
      <w:r>
        <w:rPr>
          <w:rFonts w:ascii="仿宋_GB2312" w:hAnsi="仿宋_GB2312" w:cs="仿宋_GB2312" w:eastAsia="仿宋_GB2312"/>
          <w:sz w:val="28"/>
          <w:b/>
        </w:rPr>
        <w:t>陕西经纬通达项目管理咨询有限公司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陕西经纬通达项目管理咨询有限公司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西安市长安区太乙宫街道办事处</w:t>
      </w:r>
      <w:r>
        <w:rPr>
          <w:rFonts w:ascii="仿宋_GB2312" w:hAnsi="仿宋_GB2312" w:cs="仿宋_GB2312" w:eastAsia="仿宋_GB2312"/>
        </w:rPr>
        <w:t>委托，拟对</w:t>
      </w:r>
      <w:r>
        <w:rPr>
          <w:rFonts w:ascii="仿宋_GB2312" w:hAnsi="仿宋_GB2312" w:cs="仿宋_GB2312" w:eastAsia="仿宋_GB2312"/>
        </w:rPr>
        <w:t>太乙宫街道沙场村2024年省级“千万工程”示范村项目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JWTDZX-ZB260105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太乙宫街道沙场村2024年省级“千万工程”示范村项目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建设内容：包括人居环境整治、村内病害路面修复及道路安全提升、维修更换摄像头等，具体详见工程量清单及施工图纸。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采购包1（太乙宫街道沙场村2024年省级“千万工程”示范村项目）：属于专门面向中小企业采购。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1、企业资质：供应商须具备建设部门颁发的市政公用工程施工总承包三级及以上资质；具备有效的安全生产许可证。</w:t>
      </w:r>
    </w:p>
    <w:p>
      <w:pPr>
        <w:pStyle w:val="null3"/>
      </w:pPr>
      <w:r>
        <w:rPr>
          <w:rFonts w:ascii="仿宋_GB2312" w:hAnsi="仿宋_GB2312" w:cs="仿宋_GB2312" w:eastAsia="仿宋_GB2312"/>
        </w:rPr>
        <w:t>2、法定代表人授权书或法定代表人身份证明书：法定代表人亲自参加投标（磋商）的，应提供法定代表人身份证明，法定代表人委托代理人参加投标（磋商）的，应提供法定代表人委托授权书；</w:t>
      </w:r>
    </w:p>
    <w:p>
      <w:pPr>
        <w:pStyle w:val="null3"/>
      </w:pPr>
      <w:r>
        <w:rPr>
          <w:rFonts w:ascii="仿宋_GB2312" w:hAnsi="仿宋_GB2312" w:cs="仿宋_GB2312" w:eastAsia="仿宋_GB2312"/>
        </w:rPr>
        <w:t>3、拟派项目经理：拟派项目经理须为本企业注册市政公用工程专业二级（含二级）以上建造师资格，并具备有效的安全生产考核合格证书（B证），且未担任其他在建工程的项目经理（提供无在建声明）。</w:t>
      </w:r>
    </w:p>
    <w:p>
      <w:pPr>
        <w:pStyle w:val="null3"/>
      </w:pPr>
      <w:r>
        <w:rPr>
          <w:rFonts w:ascii="仿宋_GB2312" w:hAnsi="仿宋_GB2312" w:cs="仿宋_GB2312" w:eastAsia="仿宋_GB2312"/>
        </w:rPr>
        <w:t>4、供应商信誉：供应商不得为“信用中国”网站（www.creditchina.gov.cn）中被列入“重大税收违法失信主体”的供应商,不得为“中国执行信息公开网”网站（zxgk.cou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p>
      <w:pPr>
        <w:pStyle w:val="null3"/>
      </w:pPr>
      <w:r>
        <w:rPr>
          <w:rFonts w:ascii="仿宋_GB2312" w:hAnsi="仿宋_GB2312" w:cs="仿宋_GB2312" w:eastAsia="仿宋_GB2312"/>
        </w:rPr>
        <w:t>5、其他：1.供应商及拟派项目经理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西安市长安区太乙宫街道办事处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太乙宫正街一号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景昌昌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029-85891769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陕西经纬通达项目管理咨询有限公司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陕西省西安市高新区高新六路21号CROSS万象汇T6座15层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029-86114938、17391828390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西安市长安区政府采购中心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采购包1：1,687,801.70元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投标人中标后应向招标代理机构支付招标代理服务费（中标单位于领取中标（成交）通知书前一次全额支付）。代理服务费按照《国家计委关于印发〈招标代理服务收费管理暂行办法〉的通知》（计价格[2002]1980号）规定的相应标准收取，不足5000元按5000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西安市长安区太乙宫街道办事处</w:t>
      </w:r>
      <w:r>
        <w:rPr>
          <w:rFonts w:ascii="仿宋_GB2312" w:hAnsi="仿宋_GB2312" w:cs="仿宋_GB2312" w:eastAsia="仿宋_GB2312"/>
        </w:rPr>
        <w:t>和</w:t>
      </w:r>
      <w:r>
        <w:rPr>
          <w:rFonts w:ascii="仿宋_GB2312" w:hAnsi="仿宋_GB2312" w:cs="仿宋_GB2312" w:eastAsia="仿宋_GB2312"/>
        </w:rPr>
        <w:t>陕西经纬通达项目管理咨询有限公司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西安市长安区太乙宫街道办事处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陕西经纬通达项目管理咨询有限公司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西安市长安区太乙宫街道办事处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陕西经纬通达项目管理咨询有限公司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陕西经纬通达项目管理咨询有限公司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联系电话：029-86114938、17391828390</w:t>
      </w:r>
    </w:p>
    <w:p>
      <w:pPr>
        <w:pStyle w:val="null3"/>
      </w:pPr>
      <w:r>
        <w:rPr>
          <w:rFonts w:ascii="仿宋_GB2312" w:hAnsi="仿宋_GB2312" w:cs="仿宋_GB2312" w:eastAsia="仿宋_GB2312"/>
        </w:rPr>
        <w:t>地址：陕西省西安市高新区高新六路21号CROSS万象汇T6座15层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1,687,801.70</w:t>
      </w:r>
    </w:p>
    <w:p>
      <w:pPr>
        <w:pStyle w:val="null3"/>
      </w:pPr>
      <w:r>
        <w:rPr>
          <w:rFonts w:ascii="仿宋_GB2312" w:hAnsi="仿宋_GB2312" w:cs="仿宋_GB2312" w:eastAsia="仿宋_GB2312"/>
        </w:rPr>
        <w:t>采购包最高限价（元）: 1,687,801.70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太乙宫街道沙场村2024年省级“千万工程”示范村项目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1,687,801.70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标的名称：太乙宫街道沙场村2024年省级“千万工程”示范村项目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一、工程概况：</w:t>
            </w:r>
            <w:r>
              <w:br/>
            </w:r>
            <w:r>
              <w:rPr>
                <w:rFonts w:ascii="仿宋_GB2312" w:hAnsi="仿宋_GB2312" w:cs="仿宋_GB2312" w:eastAsia="仿宋_GB2312"/>
                <w:sz w:val="21"/>
                <w:b/>
                <w:color w:val="000000"/>
              </w:rPr>
              <w:t xml:space="preserve"> 本工程为太乙宫街道沙场村2024年省级“千万工程”示范村项目。建设地点位于西安市长安区太乙宫街道沙场村。本工程包括人居环境整治、村内病害路面修复及道路安全提升、维修更换摄像头等施工图纸内所有内容。</w:t>
            </w:r>
            <w:r>
              <w:br/>
            </w:r>
            <w:r>
              <w:rPr>
                <w:rFonts w:ascii="仿宋_GB2312" w:hAnsi="仿宋_GB2312" w:cs="仿宋_GB2312" w:eastAsia="仿宋_GB2312"/>
                <w:sz w:val="21"/>
                <w:b/>
                <w:color w:val="000000"/>
              </w:rPr>
              <w:t xml:space="preserve"> 二、清单编制依据：</w:t>
            </w:r>
            <w:r>
              <w:br/>
            </w:r>
            <w:r>
              <w:rPr>
                <w:rFonts w:ascii="仿宋_GB2312" w:hAnsi="仿宋_GB2312" w:cs="仿宋_GB2312" w:eastAsia="仿宋_GB2312"/>
                <w:sz w:val="21"/>
                <w:b/>
                <w:color w:val="000000"/>
              </w:rPr>
              <w:t xml:space="preserve"> 1、太乙宫街道沙场村2024年省级“千万工程”示范村项目可研报告、长安区2024年太乙宫街道沙场村实施方案；  </w:t>
            </w:r>
            <w:r>
              <w:br/>
            </w:r>
            <w:r>
              <w:rPr>
                <w:rFonts w:ascii="仿宋_GB2312" w:hAnsi="仿宋_GB2312" w:cs="仿宋_GB2312" w:eastAsia="仿宋_GB2312"/>
                <w:sz w:val="21"/>
                <w:b/>
                <w:color w:val="000000"/>
              </w:rPr>
              <w:t xml:space="preserve"> 2、依据施工图纸；</w:t>
            </w:r>
            <w:r>
              <w:br/>
            </w:r>
            <w:r>
              <w:rPr>
                <w:rFonts w:ascii="仿宋_GB2312" w:hAnsi="仿宋_GB2312" w:cs="仿宋_GB2312" w:eastAsia="仿宋_GB2312"/>
                <w:sz w:val="21"/>
                <w:b/>
                <w:color w:val="000000"/>
              </w:rPr>
              <w:t xml:space="preserve"> 3、依据正常的施工组织设计及施工方法；</w:t>
            </w:r>
            <w:r>
              <w:br/>
            </w:r>
            <w:r>
              <w:rPr>
                <w:rFonts w:ascii="仿宋_GB2312" w:hAnsi="仿宋_GB2312" w:cs="仿宋_GB2312" w:eastAsia="仿宋_GB2312"/>
                <w:sz w:val="21"/>
                <w:b/>
                <w:color w:val="000000"/>
              </w:rPr>
              <w:t xml:space="preserve"> 4、施工图设计中采用的相关规范、标准、技术资料；</w:t>
            </w:r>
            <w:r>
              <w:br/>
            </w:r>
            <w:r>
              <w:rPr>
                <w:rFonts w:ascii="仿宋_GB2312" w:hAnsi="仿宋_GB2312" w:cs="仿宋_GB2312" w:eastAsia="仿宋_GB2312"/>
                <w:sz w:val="21"/>
                <w:b/>
                <w:color w:val="000000"/>
              </w:rPr>
              <w:t xml:space="preserve"> 5、依据《陕西省建设工程工程量清单计价规则》（2009）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color w:val="000000"/>
              </w:rPr>
              <w:t>二、工程内容和施工地点、计划工期、缺陷责任期、质量保修期</w:t>
            </w:r>
          </w:p>
          <w:p>
            <w:pPr>
              <w:pStyle w:val="null3"/>
              <w:jc w:val="both"/>
            </w:pPr>
            <w:r>
              <w:rPr>
                <w:rFonts w:ascii="仿宋_GB2312" w:hAnsi="仿宋_GB2312" w:cs="仿宋_GB2312" w:eastAsia="仿宋_GB2312"/>
                <w:sz w:val="21"/>
                <w:color w:val="000000"/>
              </w:rPr>
              <w:t>1.工程内容：人居环境整治、村内病害路面修复及道路安全提升、维修更换摄像头等，具体详见工程量清单及图纸。</w:t>
            </w:r>
          </w:p>
          <w:p>
            <w:pPr>
              <w:pStyle w:val="null3"/>
              <w:jc w:val="both"/>
            </w:pPr>
            <w:r>
              <w:rPr>
                <w:rFonts w:ascii="仿宋_GB2312" w:hAnsi="仿宋_GB2312" w:cs="仿宋_GB2312" w:eastAsia="仿宋_GB2312"/>
                <w:sz w:val="21"/>
                <w:color w:val="000000"/>
              </w:rPr>
              <w:t>2.工程地点：西安市长安区太乙宫街道沙场村。</w:t>
            </w:r>
          </w:p>
          <w:p>
            <w:pPr>
              <w:pStyle w:val="null3"/>
              <w:jc w:val="both"/>
            </w:pPr>
            <w:r>
              <w:rPr>
                <w:rFonts w:ascii="仿宋_GB2312" w:hAnsi="仿宋_GB2312" w:cs="仿宋_GB2312" w:eastAsia="仿宋_GB2312"/>
                <w:sz w:val="21"/>
                <w:color w:val="000000"/>
              </w:rPr>
              <w:t>3.计划工期：60日历日（具体开工时间以开工令为准）。</w:t>
            </w:r>
          </w:p>
          <w:p>
            <w:pPr>
              <w:pStyle w:val="null3"/>
              <w:jc w:val="both"/>
            </w:pPr>
            <w:r>
              <w:rPr>
                <w:rFonts w:ascii="仿宋_GB2312" w:hAnsi="仿宋_GB2312" w:cs="仿宋_GB2312" w:eastAsia="仿宋_GB2312"/>
                <w:sz w:val="21"/>
                <w:color w:val="000000"/>
              </w:rPr>
              <w:t>4.缺陷责任期：12个月，缺陷责任期自工程通过竣工验收之日计算。</w:t>
            </w:r>
          </w:p>
          <w:p>
            <w:pPr>
              <w:pStyle w:val="null3"/>
            </w:pPr>
            <w:r>
              <w:rPr>
                <w:rFonts w:ascii="仿宋_GB2312" w:hAnsi="仿宋_GB2312" w:cs="仿宋_GB2312" w:eastAsia="仿宋_GB2312"/>
                <w:sz w:val="21"/>
                <w:color w:val="000000"/>
              </w:rPr>
              <w:t>5.质量保修期：项目竣工验收合格之日起2年。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程质量必须达到国家及行业现行技术规范标准，符合国家及行业验收合格标准。采购文件中要求低于国家及行业现行技术规范标准的，以国家及行业现行技术规范标准执行；采购文件中相关要求高于国家及行业现行技术规范标准的，按标准高的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编制最高投标限价（含清单）所产生的造价咨询费（12700.00元），需中标单位中标（成交）后在领取中标（成交）通知书时支付给相应的造价咨询单位，以上费用投标人报价时无需单独列项，但需在投标报价时将此部分费用均摊到单价中，此费用应全部包含在投标总价中，采购人不再另外单独结算。 2.本项目落实国家节能、环保产品相关政策，在技术、服务等指标同等条件下，优先采购节能清单所列的节能产品，即综合评分相等时，按供应商提供的（节能产品、环境标志产品）产品认证证书数量由多到少顺序进行排序，证书数量多的排序靠前。 3.中标后，中标供应商应该按照采购人要求提供纸质版响应文件。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1.具有独立承担民事责任能力的法人、其他组织或自然人，提供合法有效的统一社会信用代码营业执照（事业单位提供事业单位法人证书，自然人提供身份证明）； 2.税收缴纳证明：提供响应文件截止时间前一年内至少一个月已缴纳的纳税证明或完税证明（任意税种）；依法免税的投标人应提供相关文件证明； 3.社会保障资金缴纳证明：提供响应文件截止时间前一年内至少一个月已缴纳的社会保障资金的凭据（专用收据或社会保险缴纳清单）；依法不需要缴纳社会保障资金的投标人应提供相关文件证明。</w:t>
            </w:r>
          </w:p>
        </w:tc>
        <w:tc>
          <w:tcPr>
            <w:tcW w:type="dxa" w:w="1661"/>
          </w:tcPr>
          <w:p>
            <w:pPr>
              <w:pStyle w:val="null3"/>
            </w:pPr>
            <w:r>
              <w:rPr>
                <w:rFonts w:ascii="仿宋_GB2312" w:hAnsi="仿宋_GB2312" w:cs="仿宋_GB2312" w:eastAsia="仿宋_GB2312"/>
              </w:rPr>
              <w:t>响应函 资格审查其他资料1.7.docx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年度或2024年度经审计的财务报告（包含审计报告和审计报告中所涉及的财务报表和报表附注），②可提供2023年度或2024年度供应商完整的全套财务报表（应当包括资产负债表、利润表、现金流量表、所有者权益变动表、附注），③可提供截至响应文件提交截止日一年内银行出具的资信证明，④供应商注册时间截至响应文件提交截止日不足一年的，也可提供在工商管理部门备案的公司章程。｝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供应商须具备建设部门颁发的市政公用工程施工总承包三级及以上资质；具备有效的安全生产许可证。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 响应函 资格审查其他资料1.7.docx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法定代表人亲自参加投标（磋商）的，应提供法定代表人身份证明，法定代表人委托代理人参加投标（磋商）的，应提供法定代表人委托授权书；</w:t>
            </w:r>
          </w:p>
        </w:tc>
        <w:tc>
          <w:tcPr>
            <w:tcW w:type="dxa" w:w="1661"/>
          </w:tcPr>
          <w:p>
            <w:pPr>
              <w:pStyle w:val="null3"/>
            </w:pPr>
            <w:r>
              <w:rPr>
                <w:rFonts w:ascii="仿宋_GB2312" w:hAnsi="仿宋_GB2312" w:cs="仿宋_GB2312" w:eastAsia="仿宋_GB2312"/>
              </w:rPr>
              <w:t>供应商应提交的相关资格证明材料 响应函 资格审查其他资料1.7.docx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拟派项目经理须为本企业注册市政公用工程专业二级（含二级）以上建造师资格，并具备有效的安全生产考核合格证书（B证），且未担任其他在建工程的项目经理（提供无在建声明）。</w:t>
            </w:r>
          </w:p>
        </w:tc>
        <w:tc>
          <w:tcPr>
            <w:tcW w:type="dxa" w:w="1661"/>
          </w:tcPr>
          <w:p>
            <w:pPr>
              <w:pStyle w:val="null3"/>
            </w:pPr>
            <w:r>
              <w:rPr>
                <w:rFonts w:ascii="仿宋_GB2312" w:hAnsi="仿宋_GB2312" w:cs="仿宋_GB2312" w:eastAsia="仿宋_GB2312"/>
              </w:rPr>
              <w:t>供应商应提交的相关资格证明材料 响应函 资格审查其他资料1.7.docx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 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开标当日网上查询结果为评审依据）</w:t>
            </w:r>
          </w:p>
        </w:tc>
        <w:tc>
          <w:tcPr>
            <w:tcW w:type="dxa" w:w="1661"/>
          </w:tcPr>
          <w:p>
            <w:pPr>
              <w:pStyle w:val="null3"/>
            </w:pPr>
            <w:r>
              <w:rPr>
                <w:rFonts w:ascii="仿宋_GB2312" w:hAnsi="仿宋_GB2312" w:cs="仿宋_GB2312" w:eastAsia="仿宋_GB2312"/>
              </w:rPr>
              <w:t>供应商应提交的相关资格证明材料 响应函 资格审查其他资料1.7.docx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1.供应商及拟派项目经理须在“陕西省住房和城乡建设厅（http://js.shaanxi.gov.cn/）陕西省建筑市场监管与诚信信息发布平台”可查询；（在资格审查阶段通过互联网或者相关系统查询，不强制要求供应商提供查询截图，以开标当日网上查询结果为评审依据）。 2.本项目不接受联合体投标（磋商）。</w:t>
            </w:r>
          </w:p>
        </w:tc>
        <w:tc>
          <w:tcPr>
            <w:tcW w:type="dxa" w:w="1661"/>
          </w:tcPr>
          <w:p>
            <w:pPr>
              <w:pStyle w:val="null3"/>
            </w:pPr>
            <w:r>
              <w:rPr>
                <w:rFonts w:ascii="仿宋_GB2312" w:hAnsi="仿宋_GB2312" w:cs="仿宋_GB2312" w:eastAsia="仿宋_GB2312"/>
              </w:rPr>
              <w:t>供应商应提交的相关资格证明材料 响应函 资格审查其他资料1.7.docx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响应函盖章</w:t>
            </w:r>
          </w:p>
        </w:tc>
        <w:tc>
          <w:tcPr>
            <w:tcW w:type="dxa" w:w="3322"/>
          </w:tcPr>
          <w:p>
            <w:pPr>
              <w:pStyle w:val="null3"/>
            </w:pPr>
            <w:r>
              <w:rPr>
                <w:rFonts w:ascii="仿宋_GB2312" w:hAnsi="仿宋_GB2312" w:cs="仿宋_GB2312" w:eastAsia="仿宋_GB2312"/>
              </w:rPr>
              <w:t>有加盖单位章。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60日历天</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工程质量必须达到国家及行业现行技术规范标准，符合国家及行业验收合格标准。</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投标内容及权利义务</w:t>
            </w:r>
          </w:p>
        </w:tc>
        <w:tc>
          <w:tcPr>
            <w:tcW w:type="dxa" w:w="3322"/>
          </w:tcPr>
          <w:p>
            <w:pPr>
              <w:pStyle w:val="null3"/>
            </w:pPr>
            <w:r>
              <w:rPr>
                <w:rFonts w:ascii="仿宋_GB2312" w:hAnsi="仿宋_GB2312" w:cs="仿宋_GB2312" w:eastAsia="仿宋_GB2312"/>
              </w:rPr>
              <w:t>投标内容：符合采购需求；权利义务：无采购人不能接受的条款。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本项目落实国家节能、环保产品相关政策，在技术、服务等指标同等条件下，优先采购节能清单所列的节能产品，即综合评分相等时，按供应商提供的（节能产品、环境标志产品）产品认证证书数量由多到少顺序进行排序，证书数量多的排序靠前。 评审得分相同且（节能产品、环境标志产品）产品认证证书数量也相同，按照最后报价由低到高的顺序推荐。评审得分且最后报价相同的，按照技术指标（分别比较施工方案、安全、文明施工等得分）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A.方案详细完善、合理可行、针对性强，得8分； B.方案较详细，基本合理可行、有针对性，得6分； C.方案较详细、基本合理可行，针对性欠缺，得4分； D.方案简单，可行性及针对性欠缺，得2分；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A.安全作业方案及安全配套措施完善、合理可行、针对性强，得8分； B.安全作业方案及安全配套措施基本合理可行，有一定针对性，得6分； C.安全作业方案及安全配套措施基本合理可行，针对性欠缺，得4分； D.安全作业方案及安全配套措施简单，可行性及针对性欠缺，得2分。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针对本项目提供的文明施工措施进行综合评审。 A.措施详细完善、合理可行、针对性强，得8分； B.措施较详细，基本合理可行、有一定针对性，得6分； C.措施较详细、基本合理可行，针对性欠缺，得4分； D.措施简单，可行性及针对性欠缺，得2分； E.其他或未提供得0分。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服务承诺及保障措施</w:t>
            </w:r>
          </w:p>
        </w:tc>
        <w:tc>
          <w:tcPr>
            <w:tcW w:type="dxa" w:w="2492"/>
          </w:tcPr>
          <w:p>
            <w:pPr>
              <w:pStyle w:val="null3"/>
            </w:pPr>
            <w:r>
              <w:rPr>
                <w:rFonts w:ascii="仿宋_GB2312" w:hAnsi="仿宋_GB2312" w:cs="仿宋_GB2312" w:eastAsia="仿宋_GB2312"/>
              </w:rPr>
              <w:t>针对本项目全部工程内容提供具体的质量保修承诺及保障措施、工期承诺及保障措施、后续服务方案。 以上3部分方案内容全面详细、阐述条理清晰详尽、符合本项目采购需求，能有效保障本项目实施的得12分，每有一项方案缺失扣4分，每一项方案内容存在缺陷扣2分。 说明：缺陷是指①内容不合理、虽有内容但内容稀疏、不完善、内容表述前后不一致；②套用其他项目方案或与项目需求不匹配及其他不利于项目实施的等任意一种情形。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针对本项目的项目组织管理机构配备。 A.人员组织架构完整，岗位设置合理、明确，技术人员专业性、经验性强，得6分； B.人员组织架构有待优化，岗位设置基本合理，技术人员专业性、经验性欠缺，得4分； C.人员组织架构不完整，岗位设置紧张，技术人员专业性、经验性欠缺，得2分；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根据供应商提供的施工机械、设备和材料投入计划等进行评审。 A.主要机械配置齐全，设备型号、参数及用途清晰，针对性强，材料投入合理，得6分； B. 主要机械配置紧张，设备型号、参数及用途基本清晰，缺乏针对性，材料投入基本合理，得4分； C. 主要机械配置紧张，设备型号、参数及用途不清晰，材料投入有欠缺，得2分；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A.劳动力安排详细、合理、充分，组织有序，分工明确，得6分； B.劳动力安排合理、充分，有组织和分工，得4分； C.劳动力安排笼统，得2分；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针对本项目的临时性、阶段性工作及突发事件的应急处理方案。 A.应急处理方案全面、合理、规范、可实施性强，得6分； B.应急处理方案合理，具有一定实施性，得4分； C.应急处理方案基本合理，可实施性欠缺，得2分； D.其他或未提供得0分。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A.描述详细、完整可行、有针对性，得4分； B.描述简单、缺乏针对性，得2分； C.其他或未提供得0分。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供应商2022年1月1日至截标时间前类似项目业绩；每提供1份计2分，最高得6分。 业绩证明（供应商须在响应文件中附合同协议书扫描件或者中标通知书扫描件并加盖单位公章。提供合同的，以合同签订时间为准。证明材料不符合要求或未提供的不得分）弄虚作假者，取消其成交资格。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满足磋商文件要求且最终报价最低供应商的价格为磋商基准价。其价格分为满分。 其余供应商响应报价得分统一按照以下公式计算： 磋商报价得分=(磋商基准价／最后磋商报价)×30%×100 政策性加分执行磋商文件中的标准（本项目专门面向中小企业采购，供应商为中小企业价格不做调整） （若响应人投标价格超出预算或明显低于其他响应人报价与市场成本价,响应人不能提供合理证明的，将导致投标文件被否决。）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详见附件：资格审查其他资料1.7.docx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