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版本号：SXLZ-2026-17820260106002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西安市长安区杜曲街办新长胜坊村（新村）维修养护项目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SXLZ-2026-178</w:t>
      </w:r>
      <w:r>
        <w:br/>
      </w:r>
      <w:r>
        <w:br/>
      </w:r>
      <w:r>
        <w:br/>
      </w:r>
    </w:p>
    <w:p>
      <w:pPr>
        <w:pStyle w:val="null3"/>
        <w:jc w:val="center"/>
        <w:outlineLvl w:val="2"/>
      </w:pPr>
      <w:r>
        <w:rPr>
          <w:rFonts w:ascii="仿宋_GB2312" w:hAnsi="仿宋_GB2312" w:cs="仿宋_GB2312" w:eastAsia="仿宋_GB2312"/>
          <w:sz w:val="28"/>
          <w:b/>
        </w:rPr>
        <w:t>西安市长安区供水管理中心</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西安市长安区供水管理中心</w:t>
      </w:r>
      <w:r>
        <w:rPr>
          <w:rFonts w:ascii="仿宋_GB2312" w:hAnsi="仿宋_GB2312" w:cs="仿宋_GB2312" w:eastAsia="仿宋_GB2312"/>
        </w:rPr>
        <w:t>委托，拟对</w:t>
      </w:r>
      <w:r>
        <w:rPr>
          <w:rFonts w:ascii="仿宋_GB2312" w:hAnsi="仿宋_GB2312" w:cs="仿宋_GB2312" w:eastAsia="仿宋_GB2312"/>
        </w:rPr>
        <w:t>西安市长安区杜曲街办新长胜坊村（新村）维修养护项目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SXLZ-2026-178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西安市长安区杜曲街办新长胜坊村（新村）维修养护项目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长安区新长胜坊村(新村)供水工程主要由水源工程、输水管道配水管道等部分组成。主要建设内容有:更换村内配水管道共2674m、新建闸阀井7座、智能水表入户 182 套(具体详见工程量清单)。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采购包1（西安市长安区杜曲街办新长胜坊村（新村）维修养护项目）：属于专门面向中小企业采购。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如提供资信证明，须同时提供基本存款账户开户许可证或基本账户信息表）。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5、设备和专业技术能力：具有履行合同所必需的设备和专业技术能力的书面声明。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7、企业资质要求：供应商须具备建设行政主管部门颁发的水利水电工程施工总承包三级（含三级）以上资质，并具备有效的安全生产许可证。</w:t>
      </w:r>
    </w:p>
    <w:p>
      <w:pPr>
        <w:pStyle w:val="null3"/>
      </w:pPr>
      <w:r>
        <w:rPr>
          <w:rFonts w:ascii="仿宋_GB2312" w:hAnsi="仿宋_GB2312" w:cs="仿宋_GB2312" w:eastAsia="仿宋_GB2312"/>
        </w:rPr>
        <w:t>8、拟派项目负责人资质及专业要求：拟派项目经理须具备有效的水利水电工程专业二级（含二级）以上建造师注册证，具备水行政主管部门颁发的安全生产考核合格证（B证），在本单位注册且未担任其他在建工程项目的项目经理（提供无在建工程承诺书）。</w:t>
      </w:r>
    </w:p>
    <w:p>
      <w:pPr>
        <w:pStyle w:val="null3"/>
      </w:pPr>
      <w:r>
        <w:rPr>
          <w:rFonts w:ascii="仿宋_GB2312" w:hAnsi="仿宋_GB2312" w:cs="仿宋_GB2312" w:eastAsia="仿宋_GB2312"/>
        </w:rPr>
        <w:t>9、信用查询截图：供应商不得为“信用中国”网站（www.creditchina.gov.cn）中列入失信被执行人、重大税收违法失信主体名单，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12、非联合体投标：本项目不接受联合体投标，提供非联合体投标声明。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西安市长安区供水管理中心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西安市长安区韦曲长兴路158号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19829311481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15309270789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经与采购单位协商，根据成交金额，参照国家计委颁发的《招标代理服务收费管理暂行办法》(计价格〔2002〕1980号)、国家发展改革委员会办公厅颁发的《关于招标代理服务费收费有关问题的通知》及《调整后的招标代理服务收费标准》(发改价格〔2011〕〕534号)规定计取，代理服务费不足5000元按5000元计取。2.采购代理服务费由成交供应商支付，成交供应商领取成交通知书时，须一次性向采购代理机构交纳采购代理服务费。 3.采购代理服务费账户：公司名称：陕西龙泽项目咨询管理有限公司；账 号: 61050111583800000087；开户行：中国建设银行股份有限公司西安雁塔南路南段支行。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西安市长安区供水管理中心</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西安市长安区供水管理中心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西安市长安区供水管理中心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行业标准。2、交付竣工验收的工程，必须符合规定的工程质量标准，有完整的工程技术经济资料和经签署的工程保修书，并具备国家规定的其他竣工条件。工程竣工经验收合格后，方可交付使用；未经验收或者验收不合格的，不得交付使用。3、验收结果合格的，采购人应向成交供应商出具履约验收报告，成交供应商凭验收报告办理相关手续。4、验收结果不合格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联系电话：15309270789</w:t>
      </w:r>
    </w:p>
    <w:p>
      <w:pPr>
        <w:pStyle w:val="null3"/>
      </w:pPr>
      <w:r>
        <w:rPr>
          <w:rFonts w:ascii="仿宋_GB2312" w:hAnsi="仿宋_GB2312" w:cs="仿宋_GB2312" w:eastAsia="仿宋_GB2312"/>
        </w:rPr>
        <w:t>地址：陕西省西安市国家民用航天产业基地神舟五路与东长安街交汇处东南角航天城中心广场1号楼708</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599,600.00</w:t>
      </w:r>
    </w:p>
    <w:p>
      <w:pPr>
        <w:pStyle w:val="null3"/>
      </w:pPr>
      <w:r>
        <w:rPr>
          <w:rFonts w:ascii="仿宋_GB2312" w:hAnsi="仿宋_GB2312" w:cs="仿宋_GB2312" w:eastAsia="仿宋_GB2312"/>
        </w:rPr>
        <w:t>采购包最高限价（元）: 597,691.64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西安市长安区杜曲街办新长胜坊村（新村）维修养护项目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599,600.00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标的名称：西安市长安区杜曲街办新长胜坊村（新村）维修养护项目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b/>
              </w:rPr>
              <w:t>一、主要建设内容</w:t>
            </w:r>
          </w:p>
          <w:p>
            <w:pPr>
              <w:pStyle w:val="null3"/>
              <w:spacing w:before="105" w:after="105"/>
              <w:ind w:firstLine="480"/>
              <w:jc w:val="left"/>
            </w:pPr>
            <w:r>
              <w:rPr>
                <w:rFonts w:ascii="仿宋_GB2312" w:hAnsi="仿宋_GB2312" w:cs="仿宋_GB2312" w:eastAsia="仿宋_GB2312"/>
              </w:rPr>
              <w:t>长安区新长胜坊村(新村)供水工程主要由水源工程、输水管道配水管道等部分组成。主要建设内容有:更换村内配水管道共2674m、新建闸阀井7座、智能水表入户 182 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jc w:val="both"/>
            </w:pPr>
            <w:r>
              <w:rPr>
                <w:rFonts w:ascii="仿宋_GB2312" w:hAnsi="仿宋_GB2312" w:cs="仿宋_GB2312" w:eastAsia="仿宋_GB2312"/>
                <w:b/>
              </w:rPr>
              <w:t>二、工程内容和施工地点、计划工期、工程质量、质量保修期</w:t>
            </w:r>
          </w:p>
          <w:p>
            <w:pPr>
              <w:pStyle w:val="null3"/>
              <w:spacing w:before="105" w:after="105"/>
              <w:ind w:firstLine="480"/>
              <w:jc w:val="left"/>
            </w:pPr>
            <w:r>
              <w:rPr>
                <w:rFonts w:ascii="仿宋_GB2312" w:hAnsi="仿宋_GB2312" w:cs="仿宋_GB2312" w:eastAsia="仿宋_GB2312"/>
              </w:rPr>
              <w:t>1、工程内容：工程量清单包含所有内容。</w:t>
            </w:r>
          </w:p>
          <w:p>
            <w:pPr>
              <w:pStyle w:val="null3"/>
              <w:spacing w:before="105" w:after="105"/>
              <w:ind w:firstLine="480"/>
              <w:jc w:val="left"/>
            </w:pPr>
            <w:r>
              <w:rPr>
                <w:rFonts w:ascii="仿宋_GB2312" w:hAnsi="仿宋_GB2312" w:cs="仿宋_GB2312" w:eastAsia="仿宋_GB2312"/>
              </w:rPr>
              <w:t>2、工程地点：陕西省西安市长安区。</w:t>
            </w:r>
          </w:p>
          <w:p>
            <w:pPr>
              <w:pStyle w:val="null3"/>
              <w:spacing w:before="105" w:after="105"/>
              <w:ind w:firstLine="480"/>
              <w:jc w:val="left"/>
            </w:pPr>
            <w:r>
              <w:rPr>
                <w:rFonts w:ascii="仿宋_GB2312" w:hAnsi="仿宋_GB2312" w:cs="仿宋_GB2312" w:eastAsia="仿宋_GB2312"/>
              </w:rPr>
              <w:t>3、计划工期：60日历天。</w:t>
            </w:r>
          </w:p>
          <w:p>
            <w:pPr>
              <w:pStyle w:val="null3"/>
              <w:spacing w:before="105" w:after="105"/>
              <w:ind w:firstLine="480"/>
              <w:jc w:val="left"/>
            </w:pPr>
            <w:r>
              <w:rPr>
                <w:rFonts w:ascii="仿宋_GB2312" w:hAnsi="仿宋_GB2312" w:cs="仿宋_GB2312" w:eastAsia="仿宋_GB2312"/>
              </w:rPr>
              <w:t>4、工程质量：质量达到合格标准，并满足国家相关标准、规范及有关技术文件要求。</w:t>
            </w:r>
          </w:p>
          <w:p>
            <w:pPr>
              <w:pStyle w:val="null3"/>
              <w:spacing w:before="105" w:after="105"/>
              <w:ind w:firstLine="480"/>
              <w:jc w:val="left"/>
            </w:pPr>
            <w:r>
              <w:rPr>
                <w:rFonts w:ascii="仿宋_GB2312" w:hAnsi="仿宋_GB2312" w:cs="仿宋_GB2312" w:eastAsia="仿宋_GB2312"/>
              </w:rPr>
              <w:t>5、质量保修期：一年。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after="105"/>
              <w:jc w:val="both"/>
            </w:pPr>
            <w:r>
              <w:rPr>
                <w:rFonts w:ascii="仿宋_GB2312" w:hAnsi="仿宋_GB2312" w:cs="仿宋_GB2312" w:eastAsia="仿宋_GB2312"/>
                <w:b/>
              </w:rPr>
              <w:t>三、付款方式</w:t>
            </w:r>
          </w:p>
          <w:p>
            <w:pPr>
              <w:pStyle w:val="null3"/>
              <w:spacing w:before="105" w:after="105"/>
              <w:ind w:firstLine="480"/>
              <w:jc w:val="left"/>
            </w:pPr>
            <w:r>
              <w:rPr>
                <w:rFonts w:ascii="仿宋_GB2312" w:hAnsi="仿宋_GB2312" w:cs="仿宋_GB2312" w:eastAsia="仿宋_GB2312"/>
              </w:rPr>
              <w:t>1、合同价款采用固定综合单价方式确定。 注：数量以实际为主。单价为完全综合单价。</w:t>
            </w:r>
          </w:p>
          <w:p>
            <w:pPr>
              <w:pStyle w:val="null3"/>
              <w:spacing w:before="105" w:after="105"/>
              <w:ind w:firstLine="480"/>
              <w:jc w:val="left"/>
            </w:pPr>
            <w:r>
              <w:rPr>
                <w:rFonts w:ascii="仿宋_GB2312" w:hAnsi="仿宋_GB2312" w:cs="仿宋_GB2312" w:eastAsia="仿宋_GB2312"/>
              </w:rPr>
              <w:t>2、付款方式：合同生效后，项目完工验收后支付合同金额的60%，后进行工程结算审计，审计完成后组织竣工验收，待验收通过后经财务审计，以审计结果审定金额为准，支付合同总金额剩余价款。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after="105"/>
              <w:jc w:val="both"/>
            </w:pPr>
            <w:r>
              <w:rPr>
                <w:rFonts w:ascii="仿宋_GB2312" w:hAnsi="仿宋_GB2312" w:cs="仿宋_GB2312" w:eastAsia="仿宋_GB2312"/>
                <w:b/>
              </w:rPr>
              <w:t>四、施工要求</w:t>
            </w:r>
          </w:p>
          <w:p>
            <w:pPr>
              <w:pStyle w:val="null3"/>
              <w:spacing w:before="105" w:after="105"/>
              <w:ind w:firstLine="480"/>
              <w:jc w:val="left"/>
            </w:pPr>
            <w:r>
              <w:rPr>
                <w:rFonts w:ascii="仿宋_GB2312" w:hAnsi="仿宋_GB2312" w:cs="仿宋_GB2312" w:eastAsia="仿宋_GB2312"/>
              </w:rPr>
              <w:t>1、严格执行国家现行规范、标准。</w:t>
            </w:r>
          </w:p>
          <w:p>
            <w:pPr>
              <w:pStyle w:val="null3"/>
              <w:spacing w:before="105" w:after="105"/>
              <w:ind w:firstLine="480"/>
              <w:jc w:val="left"/>
            </w:pPr>
            <w:r>
              <w:rPr>
                <w:rFonts w:ascii="仿宋_GB2312" w:hAnsi="仿宋_GB2312" w:cs="仿宋_GB2312" w:eastAsia="仿宋_GB2312"/>
              </w:rPr>
              <w:t>2、明确职责，严格岗位责任，齐心协力做好工作，确保工程按计划进行。</w:t>
            </w:r>
          </w:p>
          <w:p>
            <w:pPr>
              <w:pStyle w:val="null3"/>
              <w:spacing w:before="105" w:after="105"/>
              <w:ind w:firstLine="480"/>
              <w:jc w:val="left"/>
            </w:pPr>
            <w:r>
              <w:rPr>
                <w:rFonts w:ascii="仿宋_GB2312" w:hAnsi="仿宋_GB2312" w:cs="仿宋_GB2312" w:eastAsia="仿宋_GB2312"/>
              </w:rPr>
              <w:t>3、加强管理，确保施工中的人员安全。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1.安全责任：乙方应对其工作人员在现场工作期间的一切行为负责，如安全事故责任及因此发生的人身损害赔偿和其它费用由乙方承担。 2.保密条款：（1）成交供应商应严格遵守采购单位有关保密规定，不得泄漏一切机密；（2）在技术服务期间，成交供应商对接触到的有关采购单位商业活动、技术情报和技术资料等文件进行保密。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采购项目的响应文件，确定成交后，成交供应商须向代理机构提交纸质版磋商响应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如提供资信证明，须同时提供基本存款账户开户许可证或基本账户信息表）。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水行政主管部门颁发的安全生产考核合格证（B证），在本单位注册且未担任其他在建工程项目的项目经理（提供无在建工程承诺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应符合“竞争性磋商响应文件格式”要求（不得因文件排序限制和影响供应商响应）。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 价表填写符合要求、报价货币符合磋商文件要求、报价数量与要求符合并未出现漏项、未超出采购预算和磋商文件规定的各分项最高限价；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磋商响应文件中项目名称、项目编号与本项目一致；磋商响应文件至少包括：（1）响应函、（2）响应报价表、（3）供应商资格证明、（4）采购需求偏离表、（5）供应商承诺书。</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应满足磋商文件中要求的计划工期。</w:t>
            </w:r>
          </w:p>
        </w:tc>
        <w:tc>
          <w:tcPr>
            <w:tcW w:type="dxa" w:w="1661"/>
          </w:tcPr>
          <w:p>
            <w:pPr>
              <w:pStyle w:val="null3"/>
            </w:pPr>
            <w:r>
              <w:rPr>
                <w:rFonts w:ascii="仿宋_GB2312" w:hAnsi="仿宋_GB2312" w:cs="仿宋_GB2312" w:eastAsia="仿宋_GB2312"/>
              </w:rPr>
              <w:t>采购需求偏离表.pdf 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应符合本项目工程量清单以及清单说明的要求。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提供针对本项目的施工方案，内容包括但不限于①施工准备：技术准备、材料准备、机械准备、机具准备、劳动力准备等。② 施工方法及工艺；③重难点及解决方案；④应急方案。以上内容专门针对本项目且阐述明晰、全面、合理得20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内容包括但不限于①质量目标管理体系；②施工质量的检验制度；③确保质量的技术组织措施；④施工质量控制措施。以上内容专门针对本项目且阐述明晰、全面、合理得8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提供针对本项目的工程进度计划与措施，内容包括但不限于①施工进度计划管理；②保证工程进度技术措施；③合理组织、科学管理工程项目施工等。以上内容专门针对本项目且阐述明晰、全面、合理得9分，每缺一项内容扣3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提供针对本项目的安全施工措施。内容包括但不限于①安全生产管理制度；②安全施工措施；③安全应急预案；④安全生产教育。以上内容专门针对本项目且阐述明晰、全面、合理得8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提供针对本项目的文明施工措施，内容包含但不限于①文明施工保证体系；②文明施工管理目标及技术措施；③文明施工现场管理（材料管理、防扰民措施等）。以上内容专门针对本项目且阐述明晰、全面、合理得6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提供针对本项目的环境保护措施，内容包含但不限于①环境保护管理体系；②环境保护措施，包括污染物及废弃物处理的排放、噪音控制、防尘及扬尘等的控制措施。以上内容专门针对本项目且阐述明晰、全面、合理得6分，每缺一项内容扣3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提供针对本项目组织管理机构，内容包含但不限于①管理机构的配备计划；②组织机构的岗位职责。以上内容专门针对本项目且阐述明晰、全面、合理得8分，每缺一项内容扣4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供应商2023年1月1日至今已完类似项目业绩，提供一个业绩得1分，满分5分。（以合同签订日期为准，证明材料为合同首页、双方签字盖章页以及能够反映合同内容的部分）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经初审合格的磋商响应文件，其磋商报价为有效磋商报价，并进行价格评审。满足磋商文件实质性要求且最终报价最低的供应商的价格为 磋商基准价，其价格分为满分30分。磋商报价得分=（磋商基准价/最 终磋商报价）×30的公式计算得分。 磋商报价不完整的，不进入评标 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详见附件：施工组织设计.pdf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