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版本号：SXLZ-2026-17720260111001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2025年第二批中央专项资金西安市长安区韦曲街道双竹村供水工程水质提升项目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SXLZ-2026-177</w:t>
      </w:r>
      <w:r>
        <w:br/>
      </w:r>
      <w:r>
        <w:br/>
      </w:r>
      <w:r>
        <w:br/>
      </w:r>
    </w:p>
    <w:p>
      <w:pPr>
        <w:pStyle w:val="null3"/>
        <w:jc w:val="center"/>
        <w:outlineLvl w:val="2"/>
      </w:pPr>
      <w:r>
        <w:rPr>
          <w:rFonts w:ascii="仿宋_GB2312" w:hAnsi="仿宋_GB2312" w:cs="仿宋_GB2312" w:eastAsia="仿宋_GB2312"/>
          <w:sz w:val="28"/>
          <w:b/>
        </w:rPr>
        <w:t>西安市长安区供水管理中心</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西安市长安区供水管理中心</w:t>
      </w:r>
      <w:r>
        <w:rPr>
          <w:rFonts w:ascii="仿宋_GB2312" w:hAnsi="仿宋_GB2312" w:cs="仿宋_GB2312" w:eastAsia="仿宋_GB2312"/>
        </w:rPr>
        <w:t>委托，拟对</w:t>
      </w:r>
      <w:r>
        <w:rPr>
          <w:rFonts w:ascii="仿宋_GB2312" w:hAnsi="仿宋_GB2312" w:cs="仿宋_GB2312" w:eastAsia="仿宋_GB2312"/>
        </w:rPr>
        <w:t>2025年第二批中央专项资金西安市长安区韦曲街道双竹村供水工程水质提升项目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SXLZ-2026-177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2025年第二批中央专项资金西安市长安区韦曲街道双竹村供水工程水质提升项目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供水工程为水处理设备的维护更换，不改变现有输配水管网。主要更换设备为：(1)增加供水设备1套，采用大通量过滤+反渗透膜过滤处理工艺，处理能力为20m³/h。（2）增加设备间1座，轻钢结构，10×5×4m。以满足供水范围内居民生活用水需求(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采购包1（2025年第二批中央专项资金西安市长安区韦曲街道双竹村供水工程水质提升项目）：属于专门面向中小企业采购。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 ：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如提供资信证明，须同时提供基本存款账户开户许可证或基本账户信息表）。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3、税收缴纳证明 ：提供2025年1月以来任意一个月的依法缴纳税收的相关凭据（时间以税款所属日期为准），凭据应有税务机关或代收机关的公章或业务专用章。依法免税或无须缴纳税收的供应商，应提供相应证明文件。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 具有履行合同所必需的设备和专业技术能力的书面声明。</w:t>
      </w:r>
    </w:p>
    <w:p>
      <w:pPr>
        <w:pStyle w:val="null3"/>
      </w:pPr>
      <w:r>
        <w:rPr>
          <w:rFonts w:ascii="仿宋_GB2312" w:hAnsi="仿宋_GB2312" w:cs="仿宋_GB2312" w:eastAsia="仿宋_GB2312"/>
        </w:rPr>
        <w:t>6、没有重大违法记录的书面声明 ：参加政府采购活动前3年内在经营活动中没有重大违法记录的书面声明。</w:t>
      </w:r>
    </w:p>
    <w:p>
      <w:pPr>
        <w:pStyle w:val="null3"/>
      </w:pPr>
      <w:r>
        <w:rPr>
          <w:rFonts w:ascii="仿宋_GB2312" w:hAnsi="仿宋_GB2312" w:cs="仿宋_GB2312" w:eastAsia="仿宋_GB2312"/>
        </w:rPr>
        <w:t>7、企业资质要求：供应商须具备建设行政主管部门颁发的水利水电工程施工总承包三级（含三级）以上资质，并具备有效的安全生产许可证。</w:t>
      </w:r>
    </w:p>
    <w:p>
      <w:pPr>
        <w:pStyle w:val="null3"/>
      </w:pPr>
      <w:r>
        <w:rPr>
          <w:rFonts w:ascii="仿宋_GB2312" w:hAnsi="仿宋_GB2312" w:cs="仿宋_GB2312" w:eastAsia="仿宋_GB2312"/>
        </w:rPr>
        <w:t>8、拟派项目负责人资质及专业要求：拟派项目经理须具备有效的水利水电工程专业二级（含二级）以上建造师注册证，具备水行政主管部门颁发的安全生产考核合格证（B证），在本单位注册且未担任其他在建工程项目的项目经理（提供无在建工程承诺书）。</w:t>
      </w:r>
    </w:p>
    <w:p>
      <w:pPr>
        <w:pStyle w:val="null3"/>
      </w:pPr>
      <w:r>
        <w:rPr>
          <w:rFonts w:ascii="仿宋_GB2312" w:hAnsi="仿宋_GB2312" w:cs="仿宋_GB2312" w:eastAsia="仿宋_GB2312"/>
        </w:rPr>
        <w:t>9、信用查询截图 ：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西安市长安区韦曲长兴路158号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19829311481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经与采购单位协商，根据成交金额，参照国家计委颁发的《招标代理服务收费管理暂行办法》(计价格〔2002〕1980号)、国家发展改革委员会办公厅颁发的《关于招标代理服务费收费有关问题的通知》及《调整后的招标代理服务收费标准》(发改价格〔2011〕〕534号)规定计取，代理服务费不足5000元按5000元计取。2.采购代理服务费由成交供应商支付，成交供应商领取成交通知书时，须一次性向采购代理机构交纳采购代理服务费。 3.采购代理服务费账户：公司名称：陕西龙泽项目咨询管理有限公司；账 号: 61050111583800000087；开户行：中国建设银行股份有限公司西安雁塔南路南段支行。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西安市长安区供水管理中心</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西安市长安区供水管理中心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行业标准。2、交付竣工验收的工程，必须符合规定的工程质量标准，有完整的工程技术经济资料和经签署的工程保修书，并具备国家规定的其他竣工条件。工程竣工经验收合格后，方可交付使用；未经验收或者验收不合格的，不得交付使用。3、验收结果合格的，采购人应向成交供应商出具履约验收报告，成交供应商凭验收报告办理相关手续。4、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544,800.00</w:t>
      </w:r>
    </w:p>
    <w:p>
      <w:pPr>
        <w:pStyle w:val="null3"/>
      </w:pPr>
      <w:r>
        <w:rPr>
          <w:rFonts w:ascii="仿宋_GB2312" w:hAnsi="仿宋_GB2312" w:cs="仿宋_GB2312" w:eastAsia="仿宋_GB2312"/>
        </w:rPr>
        <w:t>采购包最高限价（元）: 509,472.04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2025年第二批中央西安市长安区韦曲街道双竹村供水工程水质提升项目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544,800.00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标的名称：2025年第二批中央西安市长安区韦曲街道双竹村供水工程水质提升项目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一、主要建设内容</w:t>
            </w:r>
          </w:p>
          <w:p>
            <w:pPr>
              <w:pStyle w:val="null3"/>
              <w:ind w:firstLine="420"/>
              <w:jc w:val="both"/>
            </w:pPr>
            <w:r>
              <w:rPr>
                <w:rFonts w:ascii="仿宋_GB2312" w:hAnsi="仿宋_GB2312" w:cs="仿宋_GB2312" w:eastAsia="仿宋_GB2312"/>
              </w:rPr>
              <w:t>该供水工程为水处理设备的维护更换，不改变现有输配水管网。主要更换设备为：（1）增加供水设备1套，采用大通量过滤+反渗透膜过滤处理工艺，处理能力为20m³/h。（2）增加设备间1座，轻钢结构，10×5×4m。以满足供水范围内居民生活用水需求（具体详见工程量清单）。</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二、工程内容和施工地点、计划工期、工程质量、质量保修期</w:t>
            </w:r>
          </w:p>
          <w:p>
            <w:pPr>
              <w:pStyle w:val="null3"/>
              <w:ind w:firstLine="420"/>
              <w:jc w:val="both"/>
            </w:pPr>
            <w:r>
              <w:rPr>
                <w:rFonts w:ascii="仿宋_GB2312" w:hAnsi="仿宋_GB2312" w:cs="仿宋_GB2312" w:eastAsia="仿宋_GB2312"/>
              </w:rPr>
              <w:t>1、工程内容：工程量清单包含所有内容。</w:t>
            </w:r>
          </w:p>
          <w:p>
            <w:pPr>
              <w:pStyle w:val="null3"/>
              <w:ind w:firstLine="420"/>
              <w:jc w:val="both"/>
            </w:pPr>
            <w:r>
              <w:rPr>
                <w:rFonts w:ascii="仿宋_GB2312" w:hAnsi="仿宋_GB2312" w:cs="仿宋_GB2312" w:eastAsia="仿宋_GB2312"/>
              </w:rPr>
              <w:t>2、工程地点：陕西省西安市长安区。</w:t>
            </w:r>
          </w:p>
          <w:p>
            <w:pPr>
              <w:pStyle w:val="null3"/>
              <w:ind w:firstLine="420"/>
              <w:jc w:val="both"/>
            </w:pPr>
            <w:r>
              <w:rPr>
                <w:rFonts w:ascii="仿宋_GB2312" w:hAnsi="仿宋_GB2312" w:cs="仿宋_GB2312" w:eastAsia="仿宋_GB2312"/>
              </w:rPr>
              <w:t>3、计划工期：45日历天。</w:t>
            </w:r>
          </w:p>
          <w:p>
            <w:pPr>
              <w:pStyle w:val="null3"/>
              <w:ind w:firstLine="420"/>
              <w:jc w:val="both"/>
            </w:pPr>
            <w:r>
              <w:rPr>
                <w:rFonts w:ascii="仿宋_GB2312" w:hAnsi="仿宋_GB2312" w:cs="仿宋_GB2312" w:eastAsia="仿宋_GB2312"/>
              </w:rPr>
              <w:t>4、工程质量：质量达到合格标准，并满足国家相关标准、规范及有关技术文件要求。</w:t>
            </w:r>
          </w:p>
          <w:p>
            <w:pPr>
              <w:pStyle w:val="null3"/>
              <w:ind w:firstLine="420"/>
              <w:jc w:val="both"/>
            </w:pPr>
            <w:r>
              <w:rPr>
                <w:rFonts w:ascii="仿宋_GB2312" w:hAnsi="仿宋_GB2312" w:cs="仿宋_GB2312" w:eastAsia="仿宋_GB2312"/>
              </w:rPr>
              <w:t>5、质量保修期：一年。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三、付款方式</w:t>
            </w:r>
          </w:p>
          <w:p>
            <w:pPr>
              <w:pStyle w:val="null3"/>
              <w:ind w:firstLine="420"/>
              <w:jc w:val="both"/>
            </w:pPr>
            <w:r>
              <w:rPr>
                <w:rFonts w:ascii="仿宋_GB2312" w:hAnsi="仿宋_GB2312" w:cs="仿宋_GB2312" w:eastAsia="仿宋_GB2312"/>
              </w:rPr>
              <w:t>1、合同价款采用固定综合单价方式确定。 注：数量以实际为主。单价为完全综合单价。</w:t>
            </w:r>
          </w:p>
          <w:p>
            <w:pPr>
              <w:pStyle w:val="null3"/>
              <w:ind w:firstLine="420"/>
              <w:jc w:val="both"/>
            </w:pPr>
            <w:r>
              <w:rPr>
                <w:rFonts w:ascii="仿宋_GB2312" w:hAnsi="仿宋_GB2312" w:cs="仿宋_GB2312" w:eastAsia="仿宋_GB2312"/>
              </w:rPr>
              <w:t>2、付款方式：合同生效后，项目完工验收后支付合同金额的60%，后进行工程结算审计，审计完成后组织竣工验收，待验收通过后经财务审计，以审计结果审定金额为准，支付合同总金额剩余价款。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四、施工要求</w:t>
            </w:r>
          </w:p>
          <w:p>
            <w:pPr>
              <w:pStyle w:val="null3"/>
              <w:ind w:firstLine="420"/>
              <w:jc w:val="both"/>
            </w:pPr>
            <w:r>
              <w:rPr>
                <w:rFonts w:ascii="仿宋_GB2312" w:hAnsi="仿宋_GB2312" w:cs="仿宋_GB2312" w:eastAsia="仿宋_GB2312"/>
              </w:rPr>
              <w:t>1、严格执行国家现行规范、标准。</w:t>
            </w:r>
          </w:p>
          <w:p>
            <w:pPr>
              <w:pStyle w:val="null3"/>
              <w:ind w:firstLine="420"/>
              <w:jc w:val="both"/>
            </w:pPr>
            <w:r>
              <w:rPr>
                <w:rFonts w:ascii="仿宋_GB2312" w:hAnsi="仿宋_GB2312" w:cs="仿宋_GB2312" w:eastAsia="仿宋_GB2312"/>
              </w:rPr>
              <w:t>2、明确职责，严格岗位责任，齐心协力做好工作，确保工程按计划进行。</w:t>
            </w:r>
          </w:p>
          <w:p>
            <w:pPr>
              <w:pStyle w:val="null3"/>
              <w:ind w:firstLine="420"/>
              <w:jc w:val="both"/>
            </w:pPr>
            <w:r>
              <w:rPr>
                <w:rFonts w:ascii="仿宋_GB2312" w:hAnsi="仿宋_GB2312" w:cs="仿宋_GB2312" w:eastAsia="仿宋_GB2312"/>
              </w:rPr>
              <w:t>3、加强管理，确保施工中的人员安全。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2.保密条款：（1）成交供应商应严格遵守采购单位有关保密规定，不得泄漏一切机密；（2）在技术服务期间，成交供应商对接触到的有关采购单位商业活动、技术情报和技术资料等文件进行保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如提供资信证明，须同时提供基本存款账户开户许可证或基本账户信息表）。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 xml:space="preserve"> 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在本单位注册且未担任其他在建工程项目的项目经理（提供无在建工程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应符合“竞争性磋商响应文件格式”要求（不得因文件排序限制和影响供应商响应)。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响应文件封面 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采购需求偏离表.pdf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应符合本项目工程量清单以及清单说明的要求。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响应文件封面 采购需求偏离表.pdf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提供针对本项目的施工方案，内容包括但不限于①施工准备：技术准备、材料准备、机械准备、机具准备、劳动力准备等。② 施工方法及工艺；③重难点及解决方案；④应急方案。以上内容专门针对本项目且阐述明晰、全面、合理得20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内容包括但不限于①质量目标管理体系；②施工质量的检验制度；③确保质量的技术组织措施；④施工质量控制措施。以上内容专门针对本项目且阐述明晰、全面、合理得8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提供针对本项目的工程进度计划与措施，内容包括但不限于①施工进度计划管理；②保证工程进度技术措施；③合理组织、科学管理工程项目施工等。以上内容专门针对本项目且阐述明晰、全面、合理得9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提供针对本项目的安全施工措施。内容包括但不限于①安全生产管理制度；②安全施工措施；③安全应急预案；④安全生产教育。以上内容专门针对本项目且阐述明晰、全面、合理得8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提供针对本项目的文明施工措施，内容包含但不限于①文明施工保证体系；②文明施工管理目标及技术措施；③文明施工现场管理（材料管理、防扰民措施）。以上内容专门针对本项目且阐述明晰、全面、合理得6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提供针对本项目的环境保护措施，内容包含但不限于①环境保护管理体系；②环保保护措施，包括污染物及废弃物处理的排放、噪音控制、防尘及扬尘的控制措施。以上内容专门针对本项目且阐述明晰、全面、合理得6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提供针对本项目组织机构，内容包含但不限于①管理机构的配备计划；②组织机构的岗位职责。以上内容专门针对本项目且阐述明晰、全面、合理得8分，每缺一项内容扣4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供应商2023年1月1日至今已完类似项目业绩，提供一个业绩得1分，满分5分。（以合同签订日期为准，证明材料为合同首页、双方签字盖章页以及能够反映合同内容的部分）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 磋商基准价，其价格分为满分30分。磋商报价得分=（磋商基准价/最 终磋商报价）×30的公式计算得分。 磋商报价不完整的，不进入评标 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详见附件：施工组织设计.pdf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