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版本号：SXLZ-2026-10620260209001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西安市长安区杨庄街办高庙村（小庙）应急供水项目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SXLZ-2026-106</w:t>
      </w:r>
      <w:r>
        <w:br/>
      </w:r>
      <w:r>
        <w:br/>
      </w:r>
      <w:r>
        <w:br/>
      </w:r>
    </w:p>
    <w:p>
      <w:pPr>
        <w:pStyle w:val="null3"/>
        <w:jc w:val="center"/>
        <w:outlineLvl w:val="2"/>
      </w:pPr>
      <w:r>
        <w:rPr>
          <w:rFonts w:ascii="仿宋_GB2312" w:hAnsi="仿宋_GB2312" w:cs="仿宋_GB2312" w:eastAsia="仿宋_GB2312"/>
          <w:sz w:val="28"/>
          <w:b/>
        </w:rPr>
        <w:t>西安市长安区供水管理中心</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西安市长安区供水管理中心</w:t>
      </w:r>
      <w:r>
        <w:rPr>
          <w:rFonts w:ascii="仿宋_GB2312" w:hAnsi="仿宋_GB2312" w:cs="仿宋_GB2312" w:eastAsia="仿宋_GB2312"/>
        </w:rPr>
        <w:t>委托，拟对</w:t>
      </w:r>
      <w:r>
        <w:rPr>
          <w:rFonts w:ascii="仿宋_GB2312" w:hAnsi="仿宋_GB2312" w:cs="仿宋_GB2312" w:eastAsia="仿宋_GB2312"/>
        </w:rPr>
        <w:t>西安市长安区杨庄街办高庙村（小庙）应急供水项目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SXLZ-2026-106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西安市长安区杨庄街办高庙村（小庙）应急供水项目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庙村（小庙）位于长安区东部杨庄街办辖区内，东临库峪河，西临井塬村，南临环山路，北临南佛；本项目建设内容为：在原村委会院内，卫生室门前新打200米深井1眼，安装水泵1台，修建井台1座，铺设主管道490米，电缆线30米，水源井保护围栏8米。解决水源水质黄并带有泥沙的问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采购包1（西安市长安区杨庄街办高庙村（小庙）应急供水项目）：属于专门面向中小企业采购。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2、资质要求：供应商须具备建设行政主管部门颁发的水利水电工程施工总承包三级（含三级）以上资质，并具备有效的安全生产许可证</w:t>
      </w:r>
    </w:p>
    <w:p>
      <w:pPr>
        <w:pStyle w:val="null3"/>
      </w:pPr>
      <w:r>
        <w:rPr>
          <w:rFonts w:ascii="仿宋_GB2312" w:hAnsi="仿宋_GB2312" w:cs="仿宋_GB2312" w:eastAsia="仿宋_GB2312"/>
        </w:rPr>
        <w:t>3、项目经理：拟派项目经理须具备有效的水利水电工程专业二级（含二级）以上建造师注册证，具备水行政主管部门颁发的安全生产考核合格证（B证），且在本单位注册，无在建工程（提供无在建工程承诺书）</w:t>
      </w:r>
    </w:p>
    <w:p>
      <w:pPr>
        <w:pStyle w:val="null3"/>
      </w:pPr>
      <w:r>
        <w:rPr>
          <w:rFonts w:ascii="仿宋_GB2312" w:hAnsi="仿宋_GB2312" w:cs="仿宋_GB2312" w:eastAsia="仿宋_GB2312"/>
        </w:rPr>
        <w:t>4、财务状况报告：提供经具有审计资质单位出具的2024度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5、税收缴纳证明：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6、社会保障资金缴纳证明：提供2025年6月至今已缴纳的至少一个月的社会保障资金缴存单据或社保机构开具的社会保险参保缴费情况证明，依法不需要缴纳社会保障资金的单位应提供相关证明材料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8、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9、不接受联合体：本项目不接受联合体，供应商需在项目电子化交易系统中按要求上传相应证明文件并进行电子签章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西安市长安区供水管理中心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西安市长安区韦曲长兴路158号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19829311481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采购包1：265,700.00元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改革委员会办公厅颁发的《关于招标代理服务费收费有关问题的通知》及《调整后的招标代理服务收费标准》(发改价格(2011))534号)规定计取，代理服务费不足5000元按5000元计取。2.采购代理服务费由成交供应商支付，成交供应商领取成交通知书时，须一次性向采购代理机构交纳采购代理服务费3.采购代理服务费账户:公司名称:陕西龙泽项目咨询管理有限公司:账号:61050111583800000087;开户行:中国建设银行股份有限公司西安雁塔南路南段支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西安市长安区供水管理中心</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西安市长安区供水管理中心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西安市长安区供水管理中心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现行行业标准。2、交付竣工验收的工程，必须符合规定的工程质量标准，有完整的工程技术经济资料和经签署的工程保修书，并具备国家规定的其他竣工条件。工程竣工经验收合格后，方可交付使用；未经验收或者验收不合格的，不得交付使用。3、验收结果合格的，采购人应向成交供应商出具履约验收报告，成交供应商凭验收报告办理相关手续。4、验收结果不合格的，履约保证金将不予退还，给采购人造成的损失超过履约保证金数额的，还应当对超过部分予以赔偿；没有提交履约保证金的，应当对采购人的损失承担赔偿责任。 二、交付竣工验收的工程，必须符合规定的工程质量标准，有完整的工程技术经济资料和经签署的工程保修书，并具备国 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地址：陕西省西安市国家民用航天产业基地神舟五路与东长安街交汇处东南角航天城中心广场1号楼708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265,700.00</w:t>
      </w:r>
    </w:p>
    <w:p>
      <w:pPr>
        <w:pStyle w:val="null3"/>
      </w:pPr>
      <w:r>
        <w:rPr>
          <w:rFonts w:ascii="仿宋_GB2312" w:hAnsi="仿宋_GB2312" w:cs="仿宋_GB2312" w:eastAsia="仿宋_GB2312"/>
        </w:rPr>
        <w:t>采购包最高限价（元）: 263,575.89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西安市长安区杨庄街办高庙村（小庙）应急供水项目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265,700.00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标的名称：西安市长安区杨庄街办高庙村（小庙）应急供水项目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确定在原村委会院内，卫生室门前新打</w:t>
            </w:r>
            <w:r>
              <w:rPr>
                <w:rFonts w:ascii="仿宋_GB2312" w:hAnsi="仿宋_GB2312" w:cs="仿宋_GB2312" w:eastAsia="仿宋_GB2312"/>
                <w:sz w:val="21"/>
              </w:rPr>
              <w:t>200米深井1眼，安装水泵1台，修建井台1座，铺设主管道490米，电缆线30米，水源井保护围栏8米。解决水源水质黄并带有泥沙的问题。</w:t>
            </w:r>
          </w:p>
          <w:p>
            <w:pPr>
              <w:pStyle w:val="null3"/>
              <w:jc w:val="both"/>
            </w:pPr>
            <w:r>
              <w:rPr>
                <w:rFonts w:ascii="仿宋_GB2312" w:hAnsi="仿宋_GB2312" w:cs="仿宋_GB2312" w:eastAsia="仿宋_GB2312"/>
                <w:sz w:val="21"/>
                <w:b/>
              </w:rPr>
              <w:t>二、工程内容和施工地点、计划工期、缺陷责任期、质量保修期</w:t>
            </w:r>
          </w:p>
          <w:p>
            <w:pPr>
              <w:pStyle w:val="null3"/>
            </w:pPr>
            <w:r>
              <w:rPr>
                <w:rFonts w:ascii="仿宋_GB2312" w:hAnsi="仿宋_GB2312" w:cs="仿宋_GB2312" w:eastAsia="仿宋_GB2312"/>
                <w:sz w:val="21"/>
              </w:rPr>
              <w:t>（一）工程内容：工程量清单包含所有内容。</w:t>
            </w:r>
          </w:p>
          <w:p>
            <w:pPr>
              <w:pStyle w:val="null3"/>
            </w:pPr>
            <w:r>
              <w:rPr>
                <w:rFonts w:ascii="仿宋_GB2312" w:hAnsi="仿宋_GB2312" w:cs="仿宋_GB2312" w:eastAsia="仿宋_GB2312"/>
                <w:sz w:val="21"/>
              </w:rPr>
              <w:t>（二）工程地点：位于陕西省西安市长安区。</w:t>
            </w:r>
          </w:p>
          <w:p>
            <w:pPr>
              <w:pStyle w:val="null3"/>
            </w:pPr>
            <w:r>
              <w:rPr>
                <w:rFonts w:ascii="仿宋_GB2312" w:hAnsi="仿宋_GB2312" w:cs="仿宋_GB2312" w:eastAsia="仿宋_GB2312"/>
                <w:sz w:val="21"/>
              </w:rPr>
              <w:t>（三）计划工期：</w:t>
            </w:r>
            <w:r>
              <w:rPr>
                <w:rFonts w:ascii="仿宋_GB2312" w:hAnsi="仿宋_GB2312" w:cs="仿宋_GB2312" w:eastAsia="仿宋_GB2312"/>
                <w:sz w:val="21"/>
              </w:rPr>
              <w:t>40</w:t>
            </w:r>
            <w:r>
              <w:rPr>
                <w:rFonts w:ascii="仿宋_GB2312" w:hAnsi="仿宋_GB2312" w:cs="仿宋_GB2312" w:eastAsia="仿宋_GB2312"/>
                <w:sz w:val="21"/>
              </w:rPr>
              <w:t>日历天。</w:t>
            </w:r>
          </w:p>
          <w:p>
            <w:pPr>
              <w:pStyle w:val="null3"/>
            </w:pPr>
            <w:r>
              <w:rPr>
                <w:rFonts w:ascii="仿宋_GB2312" w:hAnsi="仿宋_GB2312" w:cs="仿宋_GB2312" w:eastAsia="仿宋_GB2312"/>
                <w:sz w:val="21"/>
              </w:rPr>
              <w:t>（四）工程质量：质量达到合格标准，并满足国家相关标准、规范及有关技术文件要求。</w:t>
            </w:r>
          </w:p>
          <w:p>
            <w:pPr>
              <w:pStyle w:val="null3"/>
              <w:jc w:val="both"/>
            </w:pPr>
            <w:r>
              <w:rPr>
                <w:rFonts w:ascii="仿宋_GB2312" w:hAnsi="仿宋_GB2312" w:cs="仿宋_GB2312" w:eastAsia="仿宋_GB2312"/>
                <w:sz w:val="21"/>
              </w:rPr>
              <w:t>（五）质量保修期：一年</w:t>
            </w:r>
          </w:p>
          <w:p>
            <w:pPr>
              <w:pStyle w:val="null3"/>
            </w:pPr>
            <w:r>
              <w:rPr>
                <w:rFonts w:ascii="仿宋_GB2312" w:hAnsi="仿宋_GB2312" w:cs="仿宋_GB2312" w:eastAsia="仿宋_GB2312"/>
                <w:sz w:val="21"/>
                <w:b/>
              </w:rPr>
              <w:t>三、详见附件工程量清单</w:t>
            </w:r>
          </w:p>
          <w:p>
            <w:pPr>
              <w:pStyle w:val="null3"/>
              <w:jc w:val="both"/>
            </w:pPr>
            <w:r>
              <w:rPr>
                <w:rFonts w:ascii="仿宋_GB2312" w:hAnsi="仿宋_GB2312" w:cs="仿宋_GB2312" w:eastAsia="仿宋_GB2312"/>
                <w:b/>
              </w:rPr>
              <w:t>四、施工要求</w:t>
            </w:r>
          </w:p>
          <w:p>
            <w:pPr>
              <w:pStyle w:val="null3"/>
              <w:ind w:firstLine="420"/>
              <w:jc w:val="both"/>
            </w:pPr>
            <w:r>
              <w:rPr>
                <w:rFonts w:ascii="仿宋_GB2312" w:hAnsi="仿宋_GB2312" w:cs="仿宋_GB2312" w:eastAsia="仿宋_GB2312"/>
              </w:rPr>
              <w:t>1、严格执行国家现行规范、标准。</w:t>
            </w:r>
          </w:p>
          <w:p>
            <w:pPr>
              <w:pStyle w:val="null3"/>
              <w:ind w:firstLine="420"/>
              <w:jc w:val="both"/>
            </w:pPr>
            <w:r>
              <w:rPr>
                <w:rFonts w:ascii="仿宋_GB2312" w:hAnsi="仿宋_GB2312" w:cs="仿宋_GB2312" w:eastAsia="仿宋_GB2312"/>
              </w:rPr>
              <w:t>2、明确职责，严格岗位责任，齐心协力做好工作，确保工程按计划进行。</w:t>
            </w:r>
          </w:p>
          <w:p>
            <w:pPr>
              <w:pStyle w:val="null3"/>
            </w:pPr>
            <w:r>
              <w:rPr>
                <w:rFonts w:ascii="仿宋_GB2312" w:hAnsi="仿宋_GB2312" w:cs="仿宋_GB2312" w:eastAsia="仿宋_GB2312"/>
                <w:sz w:val="21"/>
              </w:rPr>
              <w:t xml:space="preserve">        3、加强管理，确保施工中的人员安全。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1.安全责任：乙方应对其工作人员在现场工作期间的一切行为负责，如安全事故责任及因此发生的人身损害赔偿和其它费 用由乙方承担。2.保密条款：（1）成交供应商应严格遵守采购单位有关保密规定，不得泄漏一切机密；（2）在技术服务期 间，成交供应商对接触到的有关采购单位商业活动、技术情报和技术资料等文件进行保密。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2.本项目为专门面向中小企业； 3.本项目所属行业为建筑业。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供应商须具备建设行政主管部门颁发的水利水电工程施工总承包三级（含三级）以上资质，并具备有效的安全生产许可证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拟派项目经理须具备有效的水利水电工程专业二级（含二级）以上建造师注册证，具备水行政主管部门颁发的安全生产考核合格证（B证），且在本单位注册，无在建工程（提供无在建工程承诺书）</w:t>
            </w:r>
          </w:p>
        </w:tc>
        <w:tc>
          <w:tcPr>
            <w:tcW w:type="dxa" w:w="1661"/>
          </w:tcPr>
          <w:p>
            <w:pPr>
              <w:pStyle w:val="null3"/>
            </w:pPr>
            <w:r>
              <w:rPr>
                <w:rFonts w:ascii="仿宋_GB2312" w:hAnsi="仿宋_GB2312" w:cs="仿宋_GB2312" w:eastAsia="仿宋_GB2312"/>
              </w:rPr>
              <w:t>供应商应提交的相关资格证明材料.docx 响应函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度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价报价唯一，磋商报价符合唯一性要求、响应报价表填写符合要求、报价货币符合磋商文件要求、报价数量与要求符合并未出现漏项、未超出采购预算和磋商文件规定的各分项最高限价；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响应文件封面 采购需求偏离表.docx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 接受的附加条件，未有负偏离且响应的内容未 含有采购人不能接受的附加条件。</w:t>
            </w:r>
          </w:p>
        </w:tc>
        <w:tc>
          <w:tcPr>
            <w:tcW w:type="dxa" w:w="1661"/>
          </w:tcPr>
          <w:p>
            <w:pPr>
              <w:pStyle w:val="null3"/>
            </w:pPr>
            <w:r>
              <w:rPr>
                <w:rFonts w:ascii="仿宋_GB2312" w:hAnsi="仿宋_GB2312" w:cs="仿宋_GB2312" w:eastAsia="仿宋_GB2312"/>
              </w:rPr>
              <w:t>响应文件封面 采购需求偏离表.docx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提供针对本项目的施工方案，内容包括但不限于①施工准备：技术准备、材料准备、机械准备、机具准备、劳动力准备等。② 施工方法及工艺；③重难点及解决方案；④应急方案。以上内容专门针对本项目且阐述明晰、全面、合理得20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内容包括但不限于①质量目标管理体系；②施工质量的检验制度；③确保质量的技术组织措施；④施工质量控制措施。以上内容专门针对本项目且阐述明晰、全面、合理得8分，每缺一项内容扣2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提供针对本项目的工程进度计划与措施，内容包括但不限于①施工进度计划管理；②保证工程进度技术措施；③合理组织、科学管理工程项目施工等。以上内容专门针对本项目且阐述明晰、全面、合理得9分，每缺一项内容扣3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提供针对本项目的安全施工措施。内容包括但不限于①安全生产管理制度；②安全施工措施；③安全应急预案；④安全生产教育。以上内容专门针对本项目且阐述明晰、全面、合理得8分，每缺一项内容扣2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提供针对本项目的文明施工措施，内容包含但不限于①文明施工保证体系；②文明施工管理目标及技术措施；③文明施工现场管理（材料管理、防扰民措施）。以上内容专门针对本项目且阐述明晰、全面、合理得6分，每缺一项内容扣2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提供针对本项目的环境保护措施，内容包含但不限于①环境保护管理体系；②环保保护措施，包括污染物及废弃物处理的排放、噪音控制、防尘及扬尘的控制措施。以上内容专门针对本项目且阐述明晰、全面、合理得6分，每缺一项内容扣4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提供针对本项目组织机构，内容包含但不限于①管理机构的配备计划；②组织机构的岗位职责。以上内容专门针对本项目且阐述明晰、全面、合理得8分，每缺一项内容扣4分，若上述内容存在瑕疵，每出现一处瑕疵扣1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供应商2023年1月1日至今已完类似项目业绩，提供一个业绩得1分，满分3分。（以合同签订日期为准，证明材料为合同首页、双方签字盖章页以及能够反映合同内容的部分）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经初审合格的磋商响应文件，其磋商报价为有效磋商报价，并进行价格评审。满足磋商文件实质性要求且最终报价最低的供应商的价格为 磋商基准价，其价格分为满分30分。磋商报价得分=（磋商基准价/最 终磋商报价）×30的公式计算得分。 磋商报价不完整的，不进入评标 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