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版本号：HC-FZB-2026-01220260319001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警用车辆采购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HC-FZB-2026-012</w:t>
      </w:r>
      <w:r>
        <w:br/>
      </w:r>
      <w:r>
        <w:br/>
      </w:r>
      <w:r>
        <w:br/>
      </w:r>
    </w:p>
    <w:p>
      <w:pPr>
        <w:pStyle w:val="null3"/>
        <w:jc w:val="center"/>
        <w:outlineLvl w:val="2"/>
      </w:pPr>
      <w:r>
        <w:rPr>
          <w:rFonts w:ascii="仿宋_GB2312" w:hAnsi="仿宋_GB2312" w:cs="仿宋_GB2312" w:eastAsia="仿宋_GB2312"/>
          <w:sz w:val="28"/>
          <w:b/>
        </w:rPr>
        <w:t>西安市公安局交通管理支队长安大队</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西安市公安局交通管理支队长安大队</w:t>
      </w:r>
      <w:r>
        <w:rPr>
          <w:rFonts w:ascii="仿宋_GB2312" w:hAnsi="仿宋_GB2312" w:cs="仿宋_GB2312" w:eastAsia="仿宋_GB2312"/>
        </w:rPr>
        <w:t>委托，拟对</w:t>
      </w:r>
      <w:r>
        <w:rPr>
          <w:rFonts w:ascii="仿宋_GB2312" w:hAnsi="仿宋_GB2312" w:cs="仿宋_GB2312" w:eastAsia="仿宋_GB2312"/>
        </w:rPr>
        <w:t>警用车辆采购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HC-FZB-2026-012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警用车辆采购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西安市公安局交通管理支队长安大队需采购新能源警用汽车4辆，跨骑式警用两轮摩托车10辆；踏板式警用两轮摩托车20辆。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1、法定代表人授权书：法定代表人授权书（附法定代表人、被授权人身份证复印件；法定代表人直接参加谈判，须提供法定代表人身份证明及身份证复印件）</w:t>
      </w:r>
    </w:p>
    <w:p>
      <w:pPr>
        <w:pStyle w:val="null3"/>
      </w:pPr>
      <w:r>
        <w:rPr>
          <w:rFonts w:ascii="仿宋_GB2312" w:hAnsi="仿宋_GB2312" w:cs="仿宋_GB2312" w:eastAsia="仿宋_GB2312"/>
        </w:rPr>
        <w:t>2、信用查询：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3、联合体谈判：本项目不接受联合体谈判。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1、法定代表人授权书：法定代表人授权书（附法定代表人、被授权人身份证复印件；法定代表人直接参加谈判，须提供法定代表人身份证明及身份证复印件）</w:t>
      </w:r>
    </w:p>
    <w:p>
      <w:pPr>
        <w:pStyle w:val="null3"/>
      </w:pPr>
      <w:r>
        <w:rPr>
          <w:rFonts w:ascii="仿宋_GB2312" w:hAnsi="仿宋_GB2312" w:cs="仿宋_GB2312" w:eastAsia="仿宋_GB2312"/>
        </w:rPr>
        <w:t>2、信用查询：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西安市公安局交通管理支队长安大队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西安市长安区北长安街24号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姚梦津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85621550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夏庭楷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17792836559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采购包2：640,000.00元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具体收费金额将在成交公告中公布。 请将采购代理服务费汇至下列指定账户： 开户名称：华春建设工程项目管理有限责任公司 开 户 行：中国银行西安南二环支行 账 号：102807336850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西安市公安局交通管理支队长安大队</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西安市公安局交通管理支队长安大队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西安市公安局交通管理支队长安大队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华春建设工程项目管理有限责任公司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对项目进行整体验收，供应商协助配合。其内容包括确认产品的产地、规格、型号和数量，对其产品技术指标、性能参数、样式、颜色、以及质量是否达到现行国家有关验收规范“合格”标准、是否在规定时间内安装完毕、所有产品的配套包装是否完好无损等进行逐项检查。 2、所验产品的指标、性能参数最终验收达不到竞争性谈判文件要求和谈判响应文件承诺的，或在使用中发现采购人不能容忍的缺陷等，将视为产品验收不合格，供应商应在采购人要求的时间内无条件免费更换或退货。 3、若发现供应商有弄虚作假的，在投标阶段故意或随意夸大产品技术性能，供应商应无条件退货，本合同解除，供应商赔偿采购人相应的损失。4、验收标准：按竞争性谈判文件、谈判响应文件及澄清函等技术指标进行验收。各项指标均应符合验收标准及要求。5、验收合格后，填写验收单，双方签字生效。6、验收依据：a)合同文本；b)谈判响应文件及澄清函、竞争性谈判文件；c)国家和行业制定的相应的标准和规范；d)验收清单（注明各部件的品名、数量、规格型号和原产地或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采购人对项目进行整体验收，供应商协助配合。其内容包括确认产品的产地、规格、型号和数量，对其产品技术指标、性能参数、样式、颜色、以及质量是否达到现行国家有关验收规范“合格”标准、是否在规定时间内安装完毕、所有产品的配套包装是否完好无损等进行逐项检查。 2、所验产品的指标、性能参数最终验收达不到竞争性谈判文件要求和谈判响应文件承诺的，或在使用中发现采购人不能容忍的缺陷等，将视为产品验收不合格，供应商应在采购人要求的时间内无条件免费更换或退货。 3、若发现供应商有弄虚作假的，在投标阶段故意或随意夸大产品技术性能，供应商应无条件退货，本合同解除，供应商赔偿采购人相应的损失。4、验收标准：按竞争性谈判文件、谈判响应文件及澄清函等技术指标进行验收。各项指标均应符合验收标准及要求。5、验收合格后，填写验收单，双方签字生效。6、验收依据：a)合同文本；b)谈判响应文件及澄清函、竞争性谈判文件；c)国家和行业制定的相应的标准和规范；d)验收清单（注明各部件的品名、数量、规格型号和原产地或生产厂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联系人：夏庭楷</w:t>
      </w:r>
    </w:p>
    <w:p>
      <w:pPr>
        <w:pStyle w:val="null3"/>
      </w:pPr>
      <w:r>
        <w:rPr>
          <w:rFonts w:ascii="仿宋_GB2312" w:hAnsi="仿宋_GB2312" w:cs="仿宋_GB2312" w:eastAsia="仿宋_GB2312"/>
        </w:rPr>
        <w:t>联系电话：17792836559</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西安市公安局交通管理支队长安大队需采购新能源警用汽车4辆，跨骑式警用两轮摩托车10辆；踏板式警用两轮摩托车20辆。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车辆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摩托车</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right"/>
            </w:pPr>
            <w:r>
              <w:rPr>
                <w:rFonts w:ascii="仿宋_GB2312" w:hAnsi="仿宋_GB2312" w:cs="仿宋_GB2312" w:eastAsia="仿宋_GB2312"/>
              </w:rPr>
              <w:t>640,000.00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发动机排量：1.5L</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发动机类型：直列四缸</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动力类型：插电式混合动力</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变速箱类型：电子无级变速箱(E-CVT)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长×宽×高：（4830mm×1900mm×1495mm）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车身结构：4门5座三厢车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轴距≥2790mm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纯电里程：续航≥128km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电池能量（kWh）≥15.87</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综合功率≥194kw</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综合扭矩≥336N·m</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油箱容积≥65L</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排放标准：国VI</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制动系统：四轮盘式</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百公里加速时间≤7.9s</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最高车速≥180km/h</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电池类型：插混专用功率型刀片电池</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轮距（前/后）（mm）≥1620/1620</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最小转弯半径（m）≤5.6</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风阻系数(Cd)≤0.26</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电池冷却方式：直冷</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巡航系统：全速自适应巡航</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标的名称：摩托车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跨骑式警用两轮摩托车，发动机排量：250ml±5</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发动机：液冷、四冲程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轴距≥1400mm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最大功率≥18Kw</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最大扭矩≥22N.m</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燃油箱容积≥15.5L</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最高车速≥124km/h</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变速器≥六档</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整备质量≥200kg</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制动型式：前轮盘式，后轮盘式，ABS防抱死系统</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外观涂装及上牌：（1）外观涂装：按照公安部2004警用车辆制式标准进行涂装或按采购人要求涂装。 （2）上牌：投标人所投产品必须能在采购人当地车管部门上警用号牌。（投标人须在投标文件中提供《外观涂装及上牌要求响应承诺函》并加盖投标人公章，否则视为不满足。）</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配置要求：（1）前红蓝警灯；（2）后立杆警灯；（3）警用扬声器；（4）边箱；（5）尾箱；（6）保险杠（投标人须在投标文件中提供《配置要求响应承诺函》并加盖投标人公章，否则视为不满足。）</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踏板式警用两轮摩托车，发动机排量：125ml±5</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发动机：风冷、四冲程</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轴距≥1280mm</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最大功率≥6.5Kw</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最大扭矩≥10.0N.m</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燃油箱容积≥6L</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最高车速≥85km/h</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变速器：自动</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整备质量≥110kg</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制动型式：前轮：盘式，后轮：鼓式或盘式</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外观涂装及上牌：（1）外观涂装：按照公安部2004警用车辆制式标准进行涂装或按采购人要求涂装。 （2）上牌：投标人所投产品必须能在采购人当地车管部门上警用号牌。（投标人须在投标文件中提供《外观涂装及上牌要求响应承诺函》并加盖投标人公章，否则视为不满足。）</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配置要求：（1）前蓝红警灯；（2）后立杆警灯；（3）警用扬声器；（4）尾箱；（5）保险杠（投标人须在投标文件中提供《配置要求响应承诺函》并加盖投标人公章，否则视为不满足。）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接到采购人通知之日起30日历日内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接到采购人通知之日起30日历日内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车辆验收合格</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车辆验收合格</w:t>
      </w:r>
      <w:r>
        <w:rPr>
          <w:rFonts w:ascii="仿宋_GB2312" w:hAnsi="仿宋_GB2312" w:cs="仿宋_GB2312" w:eastAsia="仿宋_GB2312"/>
        </w:rPr>
        <w:t xml:space="preserve"> ，达到付款条件起 </w:t>
      </w:r>
      <w:r>
        <w:rPr>
          <w:rFonts w:ascii="仿宋_GB2312" w:hAnsi="仿宋_GB2312" w:cs="仿宋_GB2312" w:eastAsia="仿宋_GB2312"/>
        </w:rPr>
        <w:t>99</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质保要求：整车质保3年或10万公里（三电系统质保60万公里）；响应人承诺超过谈判文件要求的，按其承诺的质保期进行质保 其他要求：所投车型必须在国家发改委或工信部发布的《车辆生产企业及产品》公告内，提供车辆3C认证。 采购包1：“政采贷”业务介绍 政采贷，即政府采购合同融资，是银行机构以政府采购诚信考核和信用审查为基础，凭借中小企业取得并提供的政府采购合同，按优于一般中小企业贷款的利率直接向申请贷款的中小企业发放贷款的一种新融资方式。政府采购贷特点政采贷以中小企业的政府采购信用和国库集中支付作为履约保障的政府采购合同为基础，借力政府采购诚信保障，提供了银企对接的机会和相关的服务支持。 长安区开展政采贷业务银行联系方式 序号 银行名称 联系人 电话 1 中信银行 张天宇 15102968497 2 中国银行 王 羡 029-81563158 3 西安市长安区农村信用合作联社 高 锋 029-89230551 4 浦发银行 雷 超 13992895375 李 昊 15209277417 5 北京银行 陈 明 18149209660 6 兴业银行 孙 健 18591051627 7 中国建设银行 孙振荣 18792546729 8 中国工商银行 李碧莹 13809159860</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质保要求：整车质保1年或1万公里；响应人承诺超过谈判文件要求的，按其承诺的质保期进行质保 其他要求：所投车型必须在国家发改委或工信部发布的《车辆生产企业及产品》公告内，提供所投车辆在工业和信息化部装备工业发展中心《道路机动车辆生产企业及产品信息综合查询系统》的查询截图（查询网站: https://service.miit-eidc.org.cn/miitxxgk/gonggao/xxgk/index）；提供所投车辆在“国家市场监督管理总局全国认证认可信息公共服务平台”网站的3C认证查询截图。（查询网站：http://cx.cnca.cn/CertECloud/index/index/page）。 采购包2：“政采贷”业务介绍 政采贷，即政府采购合同融资，是银行机构以政府采购诚信考核和信用审查为基础，凭借中小企业取得并提供的政府采购合同，按优于一般中小企业贷款的利率直接向申请贷款的中小企业发放贷款的一种新融资方式。政府采购贷特点政采贷以中小企业的政府采购信用和国库集中支付作为履约保障的政府采购合同为基础，借力政府采购诚信保障，提供了银企对接的机会和相关的服务支持。 长安区开展政采贷业务银行联系方式 序号 银行名称 联系人 电话 1 中信银行 张天宇 15102968497 2 中国银行 王 羡 029-81563158 3 西安市长安区农村信用合作联社 高 锋 029-89230551 4 浦发银行 雷 超 13992895375 李 昊 15209277417 5 北京银行 陈 明 18149209660 6 兴业银行 孙 健 18591051627 7 中国建设银行 孙振荣 18792546729 8 中国工商银行 李碧莹 13809159860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 组织的营业执照等证明文件，自然人的身份证明； 供应商是法人或其他组织的应提供营业执照等证明文件，供应商是自然人的应提供有效的自然人身份证明。(2)提供2024年度经审计的财务报告（包括“ 四表一注” 即《资产 负债表》《利润表》《现金流量表》《所有者权益变动表》及其附注；成立时间至提交谈判响应文件截止时间不足一年的可提供成立后任意时段的资产负债表）或基本存款账户开户银行出具的资信证明及基本存款账户开户许可证（基本账户信息）或财政部门认可的政府采购专业担保机构出具的担保函；(3)提供具有履行合同所必需的设备和专业技术能力的承诺； (4) 提供谈判截止日前一年内已缴纳的至少一个月的纳税证明或完税证明，依法免税的单位应提供相关证明材料； (5)提供谈判截止日前一年内已缴存的至少一个月的社会保障资金缴存单据或社保机构开具的社会保险参保缴费情况证明,依法不需要缴纳社会保障资金的单位应提供相关证明材料； (6)参加政府采购活动前3年内, 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提供2024年度经审计的财务报告（包括“ 四表一注” 即资产负债表》《利润表》《现金流量表》《所有者权益变动表》及其附注；成立时间至提 交响应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单位负责人为同一人或者存在直接控股、管理关系的不同供应商不得参加同一合同项下的政府采购活动；（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 组织的营业执照等证明文件，自然人的身份证明； 供应商是法人或其他组织的应提供营业执照等证明文件，供应商是自然人的应提供有效的自然人身份证明。(2)提供2024年度经审计的财务报告（包括“ 四表一注” 即《资产 负债表》《利润表》《现金流量表》《所有者权益变动表》及其附注；成立时间至提交谈判响应文件截止时间不足一年的可提供成立后任意时段的资产负债表）或基本存款账户开户银行出具的资信证明及基本存款账户开户许可证（基本账户信息）或财政部门认可的政府采购专业担保机构出具的担保函；(3)提供具有履行合同所必需的设备和专业技术能力的承诺； (4) 提供谈判截止日前一年内已缴纳的至少一个月的纳税证明或完税证明，依法免税的单位应提供相关证明材料； (5)提供谈判截止日前一年内已缴存的至少一个月的社会保障资金缴存单据或社保机构开具的社会保险参保缴费情况证明,依法不需要缴纳社会保障资金的单位应提供相关证明材料； (6)参加政府采购活动前3年内, 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提供2024年度经审计的财务报告（包括“ 四表一注” 即资产负债表》《利润表》《现金流量表》《所有者权益变动表》及其附注；成立时间至提 交响应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单位负责人为同一人或者存在直接控股、管理关系的不同供应商不得参加同一合同项下的政府采购活动；（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符合谈判文件要求签署、加盖印章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谈判总报价</w:t>
            </w:r>
          </w:p>
        </w:tc>
        <w:tc>
          <w:tcPr>
            <w:tcW w:type="dxa" w:w="3322"/>
          </w:tcPr>
          <w:p>
            <w:pPr>
              <w:pStyle w:val="null3"/>
            </w:pPr>
            <w:r>
              <w:rPr>
                <w:rFonts w:ascii="仿宋_GB2312" w:hAnsi="仿宋_GB2312" w:cs="仿宋_GB2312" w:eastAsia="仿宋_GB2312"/>
              </w:rPr>
              <w:t>每轮报价唯一且未超过本项目最高限价 注：本项目最高限价为人民币肆拾万元整（¥400000.00）</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承诺函.docx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承诺函.docx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符合谈判文件要求签署、加盖印章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承诺函.docx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谈判总报价</w:t>
            </w:r>
          </w:p>
        </w:tc>
        <w:tc>
          <w:tcPr>
            <w:tcW w:type="dxa" w:w="3322"/>
          </w:tcPr>
          <w:p>
            <w:pPr>
              <w:pStyle w:val="null3"/>
            </w:pPr>
            <w:r>
              <w:rPr>
                <w:rFonts w:ascii="仿宋_GB2312" w:hAnsi="仿宋_GB2312" w:cs="仿宋_GB2312" w:eastAsia="仿宋_GB2312"/>
              </w:rPr>
              <w:t>每轮报价唯一且未超过本项目最高限价 注：本项目最高限价为人民币陆拾肆万元整（¥640000.00）</w:t>
            </w:r>
          </w:p>
        </w:tc>
        <w:tc>
          <w:tcPr>
            <w:tcW w:type="dxa" w:w="1661"/>
          </w:tcPr>
          <w:p>
            <w:pPr>
              <w:pStyle w:val="null3"/>
            </w:pPr>
            <w:r>
              <w:rPr>
                <w:rFonts w:ascii="仿宋_GB2312" w:hAnsi="仿宋_GB2312" w:cs="仿宋_GB2312" w:eastAsia="仿宋_GB2312"/>
              </w:rPr>
              <w:t>商务应答表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