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56111">
      <w:pPr>
        <w:pStyle w:val="2"/>
        <w:spacing w:before="62" w:line="225" w:lineRule="auto"/>
        <w:jc w:val="center"/>
        <w:rPr>
          <w:sz w:val="30"/>
          <w:szCs w:val="30"/>
        </w:rPr>
      </w:pPr>
      <w:r>
        <w:rPr>
          <w:rFonts w:hint="eastAsia"/>
          <w:b/>
          <w:bCs/>
          <w:spacing w:val="6"/>
          <w:sz w:val="30"/>
          <w:szCs w:val="30"/>
          <w:lang w:val="en-US" w:eastAsia="zh-CN"/>
        </w:rPr>
        <w:t>工程量清单</w:t>
      </w:r>
      <w:r>
        <w:rPr>
          <w:b/>
          <w:bCs/>
          <w:spacing w:val="6"/>
          <w:sz w:val="30"/>
          <w:szCs w:val="30"/>
        </w:rPr>
        <w:t>编制说明编制说明</w:t>
      </w:r>
    </w:p>
    <w:p w14:paraId="01CC968E">
      <w:pPr>
        <w:pStyle w:val="2"/>
        <w:spacing w:before="232" w:line="220" w:lineRule="auto"/>
        <w:ind w:left="543"/>
        <w:outlineLvl w:val="0"/>
      </w:pPr>
      <w:r>
        <w:rPr>
          <w:rFonts w:ascii="Times New Roman" w:hAnsi="Times New Roman" w:eastAsia="Times New Roman" w:cs="Times New Roman"/>
          <w:b/>
          <w:bCs/>
          <w:spacing w:val="-9"/>
        </w:rPr>
        <w:t>1.1</w:t>
      </w:r>
      <w:r>
        <w:rPr>
          <w:b/>
          <w:bCs/>
          <w:spacing w:val="-9"/>
        </w:rPr>
        <w:t>项目概况</w:t>
      </w:r>
    </w:p>
    <w:p w14:paraId="39C2CA3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textAlignment w:val="baseline"/>
      </w:pPr>
      <w:r>
        <w:rPr>
          <w:spacing w:val="2"/>
        </w:rPr>
        <w:t>本次维修养护涉及</w:t>
      </w:r>
      <w:r>
        <w:rPr>
          <w:rFonts w:ascii="Times New Roman" w:hAnsi="Times New Roman" w:eastAsia="Times New Roman" w:cs="Times New Roman"/>
          <w:spacing w:val="2"/>
        </w:rPr>
        <w:t>9</w:t>
      </w:r>
      <w:r>
        <w:rPr>
          <w:spacing w:val="2"/>
        </w:rPr>
        <w:t>座水库，包含大峪水库、小峪水库、许家沟水</w:t>
      </w:r>
      <w:r>
        <w:rPr>
          <w:spacing w:val="1"/>
        </w:rPr>
        <w:t>库、</w:t>
      </w:r>
      <w:r>
        <w:rPr>
          <w:spacing w:val="6"/>
        </w:rPr>
        <w:t>东沟水库、翠华山水库、正岔水库、东沟二号水库、塔盘沟水库、三</w:t>
      </w:r>
      <w:r>
        <w:rPr>
          <w:spacing w:val="5"/>
        </w:rPr>
        <w:t>合一</w:t>
      </w:r>
      <w:r>
        <w:rPr>
          <w:spacing w:val="6"/>
        </w:rPr>
        <w:t>水库。均属已成工程，维修养护维持原水库任务和规模不变，维修养</w:t>
      </w:r>
      <w:r>
        <w:rPr>
          <w:spacing w:val="5"/>
        </w:rPr>
        <w:t>护的</w:t>
      </w:r>
      <w:r>
        <w:rPr>
          <w:spacing w:val="6"/>
        </w:rPr>
        <w:t>设计原则以不改变原已成建筑物设计标准、新增的维养设施其基本布</w:t>
      </w:r>
      <w:r>
        <w:rPr>
          <w:spacing w:val="5"/>
        </w:rPr>
        <w:t>局和</w:t>
      </w:r>
      <w:r>
        <w:rPr>
          <w:spacing w:val="-2"/>
        </w:rPr>
        <w:t>施工期不影响水库正常运行为原则。</w:t>
      </w:r>
    </w:p>
    <w:p w14:paraId="78DA85E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outlineLvl w:val="0"/>
      </w:pPr>
      <w:r>
        <w:rPr>
          <w:rFonts w:ascii="Times New Roman" w:hAnsi="Times New Roman" w:eastAsia="Times New Roman" w:cs="Times New Roman"/>
          <w:b/>
          <w:bCs/>
          <w:spacing w:val="-8"/>
        </w:rPr>
        <w:t>1.2</w:t>
      </w:r>
      <w:r>
        <w:rPr>
          <w:b/>
          <w:bCs/>
          <w:spacing w:val="-8"/>
        </w:rPr>
        <w:t>编制原则及依据</w:t>
      </w:r>
    </w:p>
    <w:p w14:paraId="6AE6EA8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outlineLvl w:val="0"/>
      </w:pPr>
      <w:r>
        <w:rPr>
          <w:rFonts w:ascii="Times New Roman" w:hAnsi="Times New Roman" w:eastAsia="Times New Roman" w:cs="Times New Roman"/>
          <w:b/>
          <w:bCs/>
          <w:spacing w:val="-8"/>
        </w:rPr>
        <w:t>1.2.1</w:t>
      </w:r>
      <w:r>
        <w:rPr>
          <w:b/>
          <w:bCs/>
          <w:spacing w:val="-8"/>
        </w:rPr>
        <w:t>编制原则：</w:t>
      </w:r>
    </w:p>
    <w:p w14:paraId="41F3F92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jc w:val="both"/>
        <w:textAlignment w:val="baseline"/>
      </w:pPr>
      <w:r>
        <w:rPr>
          <w:spacing w:val="3"/>
        </w:rPr>
        <w:t>（</w:t>
      </w:r>
      <w:r>
        <w:rPr>
          <w:rFonts w:ascii="Times New Roman" w:hAnsi="Times New Roman" w:eastAsia="Times New Roman" w:cs="Times New Roman"/>
          <w:spacing w:val="3"/>
        </w:rPr>
        <w:t>1</w:t>
      </w:r>
      <w:r>
        <w:rPr>
          <w:spacing w:val="3"/>
        </w:rPr>
        <w:t>）根据陕水规计发</w:t>
      </w:r>
      <w:r>
        <w:rPr>
          <w:rFonts w:ascii="Times New Roman" w:hAnsi="Times New Roman" w:eastAsia="Times New Roman" w:cs="Times New Roman"/>
          <w:spacing w:val="3"/>
        </w:rPr>
        <w:t>[</w:t>
      </w:r>
      <w:r>
        <w:fldChar w:fldCharType="begin"/>
      </w:r>
      <w:r>
        <w:instrText xml:space="preserve"> HYPERLINK \l "bookmark1" </w:instrText>
      </w:r>
      <w:r>
        <w:fldChar w:fldCharType="separate"/>
      </w:r>
      <w:r>
        <w:rPr>
          <w:rFonts w:ascii="Times New Roman" w:hAnsi="Times New Roman" w:eastAsia="Times New Roman" w:cs="Times New Roman"/>
          <w:spacing w:val="3"/>
        </w:rPr>
        <w:t>2024</w:t>
      </w:r>
      <w:r>
        <w:rPr>
          <w:rFonts w:ascii="Times New Roman" w:hAnsi="Times New Roman" w:eastAsia="Times New Roman" w:cs="Times New Roman"/>
          <w:spacing w:val="3"/>
        </w:rPr>
        <w:fldChar w:fldCharType="end"/>
      </w:r>
      <w:r>
        <w:rPr>
          <w:rFonts w:ascii="Times New Roman" w:hAnsi="Times New Roman" w:eastAsia="Times New Roman" w:cs="Times New Roman"/>
          <w:spacing w:val="3"/>
        </w:rPr>
        <w:t>]</w:t>
      </w:r>
      <w:r>
        <w:rPr>
          <w:rFonts w:ascii="Times New Roman" w:hAnsi="Times New Roman" w:eastAsia="Times New Roman" w:cs="Times New Roman"/>
          <w:spacing w:val="-39"/>
        </w:rPr>
        <w:t xml:space="preserve"> </w:t>
      </w:r>
      <w:r>
        <w:rPr>
          <w:rFonts w:ascii="Times New Roman" w:hAnsi="Times New Roman" w:eastAsia="Times New Roman" w:cs="Times New Roman"/>
          <w:spacing w:val="3"/>
        </w:rPr>
        <w:t>107</w:t>
      </w:r>
      <w:r>
        <w:rPr>
          <w:spacing w:val="3"/>
        </w:rPr>
        <w:t>号文陕西省水利厅</w:t>
      </w:r>
      <w:r>
        <w:rPr>
          <w:rFonts w:ascii="Times New Roman" w:hAnsi="Times New Roman" w:eastAsia="Times New Roman" w:cs="Times New Roman"/>
          <w:spacing w:val="3"/>
        </w:rPr>
        <w:t>“</w:t>
      </w:r>
      <w:r>
        <w:rPr>
          <w:rFonts w:ascii="Times New Roman" w:hAnsi="Times New Roman" w:eastAsia="Times New Roman" w:cs="Times New Roman"/>
          <w:spacing w:val="-47"/>
        </w:rPr>
        <w:t xml:space="preserve"> </w:t>
      </w:r>
      <w:r>
        <w:rPr>
          <w:spacing w:val="3"/>
        </w:rPr>
        <w:t>关于颁发</w:t>
      </w:r>
      <w:r>
        <w:rPr>
          <w:spacing w:val="2"/>
        </w:rPr>
        <w:t>《陕西省</w:t>
      </w:r>
      <w:r>
        <w:rPr>
          <w:spacing w:val="-10"/>
        </w:rPr>
        <w:t>水利工程设计（估）算编制规定》、《陕西省水利建筑工程概算定额》（</w:t>
      </w:r>
      <w:r>
        <w:rPr>
          <w:rFonts w:ascii="Times New Roman" w:hAnsi="Times New Roman" w:eastAsia="Times New Roman" w:cs="Times New Roman"/>
          <w:spacing w:val="-10"/>
        </w:rPr>
        <w:t>2024</w:t>
      </w:r>
      <w:r>
        <w:rPr>
          <w:spacing w:val="-2"/>
        </w:rPr>
        <w:t>年修正）等计价依据的通知及有关要求进行编</w:t>
      </w:r>
      <w:r>
        <w:rPr>
          <w:spacing w:val="-3"/>
        </w:rPr>
        <w:t>制。参照陕西省水利厅</w:t>
      </w:r>
      <w:r>
        <w:rPr>
          <w:rFonts w:ascii="Times New Roman" w:hAnsi="Times New Roman" w:eastAsia="Times New Roman" w:cs="Times New Roman"/>
          <w:spacing w:val="-3"/>
        </w:rPr>
        <w:t>2023</w:t>
      </w:r>
      <w:r>
        <w:rPr>
          <w:spacing w:val="-3"/>
        </w:rPr>
        <w:t>年</w:t>
      </w:r>
      <w:r>
        <w:rPr>
          <w:rFonts w:ascii="Times New Roman" w:hAnsi="Times New Roman" w:eastAsia="Times New Roman" w:cs="Times New Roman"/>
          <w:spacing w:val="-3"/>
        </w:rPr>
        <w:t>12</w:t>
      </w:r>
      <w:r>
        <w:rPr>
          <w:spacing w:val="-3"/>
        </w:rPr>
        <w:t>月</w:t>
      </w:r>
      <w:r>
        <w:rPr>
          <w:rFonts w:ascii="Times New Roman" w:hAnsi="Times New Roman" w:eastAsia="Times New Roman" w:cs="Times New Roman"/>
          <w:spacing w:val="-3"/>
        </w:rPr>
        <w:t>18</w:t>
      </w:r>
      <w:r>
        <w:rPr>
          <w:spacing w:val="-3"/>
        </w:rPr>
        <w:t>日《关于印发《陕西省小型水库维修养护定额标准（试行）的通知》</w:t>
      </w:r>
      <w:r>
        <w:rPr>
          <w:spacing w:val="3"/>
        </w:rPr>
        <w:t xml:space="preserve"> </w:t>
      </w:r>
      <w:r>
        <w:rPr>
          <w:spacing w:val="5"/>
        </w:rPr>
        <w:t>》（陕水防发〔</w:t>
      </w:r>
      <w:r>
        <w:rPr>
          <w:rFonts w:ascii="Times New Roman" w:hAnsi="Times New Roman" w:eastAsia="Times New Roman" w:cs="Times New Roman"/>
          <w:spacing w:val="5"/>
        </w:rPr>
        <w:t>2023</w:t>
      </w:r>
      <w:r>
        <w:rPr>
          <w:spacing w:val="5"/>
        </w:rPr>
        <w:t>〕</w:t>
      </w:r>
      <w:r>
        <w:rPr>
          <w:rFonts w:ascii="Times New Roman" w:hAnsi="Times New Roman" w:eastAsia="Times New Roman" w:cs="Times New Roman"/>
          <w:spacing w:val="5"/>
        </w:rPr>
        <w:t>30</w:t>
      </w:r>
      <w:r>
        <w:rPr>
          <w:spacing w:val="5"/>
        </w:rPr>
        <w:t>号）要求，本次小型水库维修养护独立费用计算</w:t>
      </w:r>
      <w:r>
        <w:rPr>
          <w:spacing w:val="2"/>
        </w:rPr>
        <w:t>依据该标准执行。《陕西省小型水库维修养护</w:t>
      </w:r>
      <w:r>
        <w:rPr>
          <w:spacing w:val="1"/>
        </w:rPr>
        <w:t>定额标准（试行）》；</w:t>
      </w:r>
    </w:p>
    <w:p w14:paraId="6CB9FDF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outlineLvl w:val="0"/>
      </w:pPr>
      <w:r>
        <w:rPr>
          <w:rFonts w:ascii="Times New Roman" w:hAnsi="Times New Roman" w:eastAsia="Times New Roman" w:cs="Times New Roman"/>
          <w:b/>
          <w:bCs/>
          <w:spacing w:val="-8"/>
        </w:rPr>
        <w:t>1.2.2</w:t>
      </w:r>
      <w:r>
        <w:rPr>
          <w:b/>
          <w:bCs/>
          <w:spacing w:val="-8"/>
        </w:rPr>
        <w:t>编制依据</w:t>
      </w:r>
    </w:p>
    <w:p w14:paraId="373F3B3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w:t>
      </w:r>
      <w:r>
        <w:rPr>
          <w:rFonts w:ascii="Times New Roman" w:hAnsi="Times New Roman" w:eastAsia="Times New Roman" w:cs="Times New Roman"/>
          <w:spacing w:val="-2"/>
        </w:rPr>
        <w:t>1</w:t>
      </w:r>
      <w:r>
        <w:rPr>
          <w:spacing w:val="-2"/>
        </w:rPr>
        <w:t>）《陕西省水利工程设计概（估）算编制规定》（</w:t>
      </w:r>
      <w:r>
        <w:rPr>
          <w:rFonts w:ascii="Times New Roman" w:hAnsi="Times New Roman" w:eastAsia="Times New Roman" w:cs="Times New Roman"/>
          <w:spacing w:val="-2"/>
        </w:rPr>
        <w:t>2024</w:t>
      </w:r>
      <w:r>
        <w:rPr>
          <w:spacing w:val="-2"/>
        </w:rPr>
        <w:t>年修正）</w:t>
      </w:r>
    </w:p>
    <w:p w14:paraId="5E86277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pPr>
      <w:r>
        <w:rPr>
          <w:spacing w:val="-5"/>
        </w:rPr>
        <w:t>（</w:t>
      </w:r>
      <w:r>
        <w:rPr>
          <w:rFonts w:ascii="Times New Roman" w:hAnsi="Times New Roman" w:eastAsia="Times New Roman" w:cs="Times New Roman"/>
          <w:spacing w:val="-5"/>
        </w:rPr>
        <w:t>2</w:t>
      </w:r>
      <w:r>
        <w:rPr>
          <w:spacing w:val="-5"/>
        </w:rPr>
        <w:t>）《陕西省水利建筑工程概算定额》（</w:t>
      </w:r>
      <w:r>
        <w:rPr>
          <w:rFonts w:ascii="Times New Roman" w:hAnsi="Times New Roman" w:eastAsia="Times New Roman" w:cs="Times New Roman"/>
          <w:spacing w:val="-5"/>
        </w:rPr>
        <w:t>2024</w:t>
      </w:r>
      <w:r>
        <w:rPr>
          <w:spacing w:val="-5"/>
        </w:rPr>
        <w:t>年修正）《陕西省水利</w:t>
      </w:r>
      <w:r>
        <w:t>设备安装工程概算定额》（</w:t>
      </w:r>
      <w:r>
        <w:rPr>
          <w:rFonts w:ascii="Times New Roman" w:hAnsi="Times New Roman" w:eastAsia="Times New Roman" w:cs="Times New Roman"/>
        </w:rPr>
        <w:t>2024</w:t>
      </w:r>
      <w:r>
        <w:t>年修正）《陕西省水利工程施工机械台班费定额》（</w:t>
      </w:r>
      <w:r>
        <w:rPr>
          <w:rFonts w:ascii="Times New Roman" w:hAnsi="Times New Roman" w:eastAsia="Times New Roman" w:cs="Times New Roman"/>
        </w:rPr>
        <w:t>2024</w:t>
      </w:r>
      <w:r>
        <w:t>年修正）及水利部、省内外有关行业主管部门颁发并正在</w:t>
      </w:r>
      <w:r>
        <w:rPr>
          <w:spacing w:val="-4"/>
        </w:rPr>
        <w:t>执行的定额；</w:t>
      </w:r>
    </w:p>
    <w:p w14:paraId="61E1BF7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w:t>
      </w:r>
      <w:r>
        <w:rPr>
          <w:rFonts w:ascii="Times New Roman" w:hAnsi="Times New Roman" w:eastAsia="Times New Roman" w:cs="Times New Roman"/>
          <w:spacing w:val="-2"/>
        </w:rPr>
        <w:t>3</w:t>
      </w:r>
      <w:r>
        <w:rPr>
          <w:spacing w:val="-2"/>
        </w:rPr>
        <w:t>）《陕西省小型水库维修养护定额标准（试行）》；</w:t>
      </w:r>
    </w:p>
    <w:p w14:paraId="4D89236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w:t>
      </w:r>
      <w:r>
        <w:rPr>
          <w:rFonts w:ascii="Times New Roman" w:hAnsi="Times New Roman" w:eastAsia="Times New Roman" w:cs="Times New Roman"/>
          <w:spacing w:val="-2"/>
        </w:rPr>
        <w:t>4</w:t>
      </w:r>
      <w:r>
        <w:rPr>
          <w:spacing w:val="-2"/>
        </w:rPr>
        <w:t>）《陕西省</w:t>
      </w:r>
      <w:r>
        <w:rPr>
          <w:rFonts w:ascii="Times New Roman" w:hAnsi="Times New Roman" w:eastAsia="Times New Roman" w:cs="Times New Roman"/>
          <w:spacing w:val="-2"/>
        </w:rPr>
        <w:t>2025</w:t>
      </w:r>
      <w:r>
        <w:rPr>
          <w:spacing w:val="-2"/>
        </w:rPr>
        <w:t>建筑工程消耗量定额》；</w:t>
      </w:r>
    </w:p>
    <w:p w14:paraId="412B4AC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w:t>
      </w:r>
      <w:r>
        <w:rPr>
          <w:rFonts w:ascii="Times New Roman" w:hAnsi="Times New Roman" w:eastAsia="Times New Roman" w:cs="Times New Roman"/>
          <w:spacing w:val="-2"/>
        </w:rPr>
        <w:t>5</w:t>
      </w:r>
      <w:r>
        <w:rPr>
          <w:spacing w:val="-2"/>
        </w:rPr>
        <w:t>）《水利水电工程设计工程量计算规定》；</w:t>
      </w:r>
    </w:p>
    <w:p w14:paraId="65E28D9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pPr>
      <w:r>
        <w:rPr>
          <w:spacing w:val="-3"/>
        </w:rPr>
        <w:t>（</w:t>
      </w:r>
      <w:r>
        <w:rPr>
          <w:rFonts w:ascii="Times New Roman" w:hAnsi="Times New Roman" w:eastAsia="Times New Roman" w:cs="Times New Roman"/>
          <w:spacing w:val="-3"/>
        </w:rPr>
        <w:t>6</w:t>
      </w:r>
      <w:r>
        <w:rPr>
          <w:spacing w:val="-3"/>
        </w:rPr>
        <w:t>）水利部办公厅调整水利工程计价依据增值税计算标准的通知（办</w:t>
      </w:r>
      <w:r>
        <w:rPr>
          <w:spacing w:val="-2"/>
        </w:rPr>
        <w:t>财务函</w:t>
      </w:r>
      <w:r>
        <w:rPr>
          <w:rFonts w:ascii="Times New Roman" w:hAnsi="Times New Roman" w:eastAsia="Times New Roman" w:cs="Times New Roman"/>
          <w:spacing w:val="-2"/>
        </w:rPr>
        <w:t>[</w:t>
      </w:r>
      <w:r>
        <w:fldChar w:fldCharType="begin"/>
      </w:r>
      <w:r>
        <w:instrText xml:space="preserve"> HYPERLINK \l "bookmark2" </w:instrText>
      </w:r>
      <w:r>
        <w:fldChar w:fldCharType="separate"/>
      </w:r>
      <w:r>
        <w:rPr>
          <w:rFonts w:ascii="Times New Roman" w:hAnsi="Times New Roman" w:eastAsia="Times New Roman" w:cs="Times New Roman"/>
          <w:spacing w:val="-2"/>
        </w:rPr>
        <w:t>2019</w:t>
      </w:r>
      <w:r>
        <w:rPr>
          <w:rFonts w:ascii="Times New Roman" w:hAnsi="Times New Roman" w:eastAsia="Times New Roman" w:cs="Times New Roman"/>
          <w:spacing w:val="-2"/>
        </w:rPr>
        <w:fldChar w:fldCharType="end"/>
      </w:r>
      <w:r>
        <w:rPr>
          <w:rFonts w:ascii="Times New Roman" w:hAnsi="Times New Roman" w:eastAsia="Times New Roman" w:cs="Times New Roman"/>
          <w:spacing w:val="-2"/>
        </w:rPr>
        <w:t>]448</w:t>
      </w:r>
      <w:r>
        <w:rPr>
          <w:spacing w:val="-2"/>
        </w:rPr>
        <w:t>号）。</w:t>
      </w:r>
    </w:p>
    <w:p w14:paraId="124C8A2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pPr>
      <w:r>
        <w:rPr>
          <w:spacing w:val="-4"/>
        </w:rPr>
        <w:t>（</w:t>
      </w:r>
      <w:r>
        <w:rPr>
          <w:rFonts w:ascii="Times New Roman" w:hAnsi="Times New Roman" w:eastAsia="Times New Roman" w:cs="Times New Roman"/>
          <w:spacing w:val="-4"/>
        </w:rPr>
        <w:t>7</w:t>
      </w:r>
      <w:r>
        <w:rPr>
          <w:spacing w:val="-4"/>
        </w:rPr>
        <w:t>）工程设计文件及图纸。</w:t>
      </w:r>
    </w:p>
    <w:p w14:paraId="6655625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1.3</w:t>
      </w:r>
      <w:r>
        <w:rPr>
          <w:b/>
          <w:bCs/>
          <w:spacing w:val="-6"/>
        </w:rPr>
        <w:t>基础价格</w:t>
      </w:r>
    </w:p>
    <w:p w14:paraId="6BAEEF3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1.3.1</w:t>
      </w:r>
      <w:r>
        <w:rPr>
          <w:b/>
          <w:bCs/>
          <w:spacing w:val="-6"/>
        </w:rPr>
        <w:t>人工预算单价</w:t>
      </w:r>
    </w:p>
    <w:p w14:paraId="2CA4B8B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textAlignment w:val="baseline"/>
      </w:pPr>
      <w:r>
        <w:rPr>
          <w:spacing w:val="2"/>
        </w:rPr>
        <w:t>根据《陕西省水利工程设计概（估）算编制规定》：陕西省水利工程</w:t>
      </w:r>
      <w:r>
        <w:rPr>
          <w:spacing w:val="-2"/>
        </w:rPr>
        <w:t>人工预算单价执行技工</w:t>
      </w:r>
      <w:r>
        <w:rPr>
          <w:rFonts w:ascii="Times New Roman" w:hAnsi="Times New Roman" w:eastAsia="Times New Roman" w:cs="Times New Roman"/>
          <w:spacing w:val="-2"/>
        </w:rPr>
        <w:t>75</w:t>
      </w:r>
      <w:r>
        <w:rPr>
          <w:spacing w:val="-2"/>
        </w:rPr>
        <w:t>元</w:t>
      </w:r>
      <w:r>
        <w:rPr>
          <w:rFonts w:ascii="Times New Roman" w:hAnsi="Times New Roman" w:eastAsia="Times New Roman" w:cs="Times New Roman"/>
          <w:spacing w:val="-2"/>
        </w:rPr>
        <w:t>/</w:t>
      </w:r>
      <w:r>
        <w:rPr>
          <w:spacing w:val="-2"/>
        </w:rPr>
        <w:t>工日</w:t>
      </w:r>
      <w:r>
        <w:rPr>
          <w:rFonts w:ascii="Times New Roman" w:hAnsi="Times New Roman" w:eastAsia="Times New Roman" w:cs="Times New Roman"/>
          <w:spacing w:val="-2"/>
        </w:rPr>
        <w:t>,</w:t>
      </w:r>
      <w:r>
        <w:rPr>
          <w:spacing w:val="-2"/>
        </w:rPr>
        <w:t>普工</w:t>
      </w:r>
      <w:r>
        <w:rPr>
          <w:rFonts w:ascii="Times New Roman" w:hAnsi="Times New Roman" w:eastAsia="Times New Roman" w:cs="Times New Roman"/>
          <w:spacing w:val="-2"/>
        </w:rPr>
        <w:t>50</w:t>
      </w:r>
      <w:r>
        <w:rPr>
          <w:spacing w:val="-2"/>
        </w:rPr>
        <w:t>元</w:t>
      </w:r>
      <w:r>
        <w:rPr>
          <w:rFonts w:ascii="Times New Roman" w:hAnsi="Times New Roman" w:eastAsia="Times New Roman" w:cs="Times New Roman"/>
          <w:spacing w:val="-2"/>
        </w:rPr>
        <w:t>/</w:t>
      </w:r>
      <w:r>
        <w:rPr>
          <w:spacing w:val="-2"/>
        </w:rPr>
        <w:t>工日标准。</w:t>
      </w:r>
    </w:p>
    <w:p w14:paraId="0845090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1.3.2</w:t>
      </w:r>
      <w:r>
        <w:rPr>
          <w:b/>
          <w:bCs/>
          <w:spacing w:val="-6"/>
        </w:rPr>
        <w:t>材料预算价格</w:t>
      </w:r>
    </w:p>
    <w:p w14:paraId="207ACD3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pPr>
      <w:r>
        <w:rPr>
          <w:spacing w:val="-4"/>
        </w:rPr>
        <w:t>（</w:t>
      </w:r>
      <w:r>
        <w:rPr>
          <w:rFonts w:ascii="Times New Roman" w:hAnsi="Times New Roman" w:eastAsia="Times New Roman" w:cs="Times New Roman"/>
          <w:spacing w:val="-4"/>
        </w:rPr>
        <w:t>1</w:t>
      </w:r>
      <w:r>
        <w:rPr>
          <w:spacing w:val="-4"/>
        </w:rPr>
        <w:t>）主要材料预算价格</w:t>
      </w:r>
    </w:p>
    <w:p w14:paraId="0CC9FC5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主要材料预算</w:t>
      </w:r>
      <w:r>
        <w:rPr>
          <w:rFonts w:ascii="Times New Roman" w:hAnsi="Times New Roman" w:eastAsia="Times New Roman" w:cs="Times New Roman"/>
          <w:spacing w:val="-2"/>
        </w:rPr>
        <w:t>=</w:t>
      </w:r>
      <w:r>
        <w:rPr>
          <w:spacing w:val="-2"/>
        </w:rPr>
        <w:t>【主要材料原价</w:t>
      </w:r>
      <w:r>
        <w:rPr>
          <w:rFonts w:ascii="Times New Roman" w:hAnsi="Times New Roman" w:eastAsia="Times New Roman" w:cs="Times New Roman"/>
          <w:spacing w:val="-2"/>
        </w:rPr>
        <w:t>+</w:t>
      </w:r>
      <w:r>
        <w:rPr>
          <w:spacing w:val="-2"/>
        </w:rPr>
        <w:t>（运杂基本费</w:t>
      </w:r>
      <w:r>
        <w:rPr>
          <w:rFonts w:ascii="Times New Roman" w:hAnsi="Times New Roman" w:eastAsia="Times New Roman" w:cs="Times New Roman"/>
          <w:spacing w:val="-2"/>
        </w:rPr>
        <w:t>×</w:t>
      </w:r>
      <w:r>
        <w:rPr>
          <w:spacing w:val="-2"/>
        </w:rPr>
        <w:t>装载能效综合系数）】</w:t>
      </w:r>
      <w:r>
        <w:rPr>
          <w:spacing w:val="14"/>
        </w:rPr>
        <w:t xml:space="preserve"> </w:t>
      </w:r>
      <w:r>
        <w:rPr>
          <w:rFonts w:ascii="Times New Roman" w:hAnsi="Times New Roman" w:eastAsia="Times New Roman" w:cs="Times New Roman"/>
          <w:spacing w:val="-3"/>
        </w:rPr>
        <w:t>×</w:t>
      </w:r>
      <w:r>
        <w:rPr>
          <w:spacing w:val="-3"/>
        </w:rPr>
        <w:t>（</w:t>
      </w:r>
      <w:r>
        <w:rPr>
          <w:rFonts w:ascii="Times New Roman" w:hAnsi="Times New Roman" w:eastAsia="Times New Roman" w:cs="Times New Roman"/>
          <w:spacing w:val="-3"/>
        </w:rPr>
        <w:t>1+</w:t>
      </w:r>
      <w:r>
        <w:rPr>
          <w:spacing w:val="-3"/>
        </w:rPr>
        <w:t>采购保管费费率）</w:t>
      </w:r>
      <w:r>
        <w:rPr>
          <w:rFonts w:ascii="Times New Roman" w:hAnsi="Times New Roman" w:eastAsia="Times New Roman" w:cs="Times New Roman"/>
          <w:spacing w:val="-3"/>
        </w:rPr>
        <w:t>+</w:t>
      </w:r>
      <w:r>
        <w:rPr>
          <w:spacing w:val="-3"/>
        </w:rPr>
        <w:t>运输保险费。</w:t>
      </w:r>
    </w:p>
    <w:p w14:paraId="26E8CD1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pPr>
      <w:r>
        <w:rPr>
          <w:spacing w:val="-4"/>
        </w:rPr>
        <w:t>（</w:t>
      </w:r>
      <w:r>
        <w:rPr>
          <w:rFonts w:ascii="Times New Roman" w:hAnsi="Times New Roman" w:eastAsia="Times New Roman" w:cs="Times New Roman"/>
          <w:spacing w:val="-4"/>
        </w:rPr>
        <w:t>2</w:t>
      </w:r>
      <w:r>
        <w:rPr>
          <w:spacing w:val="-4"/>
        </w:rPr>
        <w:t>）其他材料预算价格</w:t>
      </w:r>
    </w:p>
    <w:p w14:paraId="417477C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textAlignment w:val="baseline"/>
      </w:pPr>
      <w:r>
        <w:rPr>
          <w:spacing w:val="2"/>
        </w:rPr>
        <w:t>参考工程所在地工业与民用建筑安装工程材料不含增值税进项税额的</w:t>
      </w:r>
      <w:r>
        <w:rPr>
          <w:spacing w:val="-3"/>
        </w:rPr>
        <w:t>信息价格确定。</w:t>
      </w:r>
    </w:p>
    <w:p w14:paraId="014B243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outlineLvl w:val="0"/>
      </w:pPr>
      <w:r>
        <w:rPr>
          <w:rFonts w:ascii="Times New Roman" w:hAnsi="Times New Roman" w:eastAsia="Times New Roman" w:cs="Times New Roman"/>
          <w:b/>
          <w:bCs/>
          <w:spacing w:val="-5"/>
        </w:rPr>
        <w:t>1.3.3</w:t>
      </w:r>
      <w:r>
        <w:rPr>
          <w:b/>
          <w:bCs/>
          <w:spacing w:val="-5"/>
        </w:rPr>
        <w:t>施工用电、用水、用风价格</w:t>
      </w:r>
    </w:p>
    <w:p w14:paraId="7E3BF78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4" w:firstLineChars="200"/>
        <w:jc w:val="both"/>
        <w:textAlignment w:val="baseline"/>
      </w:pPr>
      <w:r>
        <w:rPr>
          <w:spacing w:val="6"/>
        </w:rPr>
        <w:t>施工用水、电价格，结合当地水电供应部门规定价格，参照类似</w:t>
      </w:r>
      <w:r>
        <w:rPr>
          <w:spacing w:val="5"/>
        </w:rPr>
        <w:t>施工</w:t>
      </w:r>
      <w:r>
        <w:rPr>
          <w:spacing w:val="-3"/>
        </w:rPr>
        <w:t>条件已实施工程的工地价格，水价取</w:t>
      </w:r>
      <w:r>
        <w:rPr>
          <w:rFonts w:ascii="Times New Roman" w:hAnsi="Times New Roman" w:eastAsia="Times New Roman" w:cs="Times New Roman"/>
          <w:spacing w:val="-3"/>
        </w:rPr>
        <w:t>1.5</w:t>
      </w:r>
      <w:r>
        <w:rPr>
          <w:spacing w:val="-3"/>
        </w:rPr>
        <w:t>元</w:t>
      </w:r>
      <w:r>
        <w:rPr>
          <w:rFonts w:ascii="Times New Roman" w:hAnsi="Times New Roman" w:eastAsia="Times New Roman" w:cs="Times New Roman"/>
          <w:spacing w:val="-3"/>
        </w:rPr>
        <w:t>/m</w:t>
      </w:r>
      <w:r>
        <w:rPr>
          <w:rFonts w:ascii="Times New Roman" w:hAnsi="Times New Roman" w:eastAsia="Times New Roman" w:cs="Times New Roman"/>
          <w:spacing w:val="-3"/>
          <w:position w:val="9"/>
          <w:sz w:val="18"/>
          <w:szCs w:val="18"/>
        </w:rPr>
        <w:t>3</w:t>
      </w:r>
      <w:r>
        <w:rPr>
          <w:rFonts w:ascii="Times New Roman" w:hAnsi="Times New Roman" w:eastAsia="Times New Roman" w:cs="Times New Roman"/>
          <w:spacing w:val="-3"/>
        </w:rPr>
        <w:t>,</w:t>
      </w:r>
      <w:r>
        <w:rPr>
          <w:rFonts w:ascii="Times New Roman" w:hAnsi="Times New Roman" w:eastAsia="Times New Roman" w:cs="Times New Roman"/>
          <w:spacing w:val="-18"/>
        </w:rPr>
        <w:t xml:space="preserve"> </w:t>
      </w:r>
      <w:r>
        <w:rPr>
          <w:spacing w:val="-3"/>
        </w:rPr>
        <w:t>电价取</w:t>
      </w:r>
      <w:r>
        <w:rPr>
          <w:rFonts w:ascii="Times New Roman" w:hAnsi="Times New Roman" w:eastAsia="Times New Roman" w:cs="Times New Roman"/>
          <w:spacing w:val="-3"/>
        </w:rPr>
        <w:t>0.85</w:t>
      </w:r>
      <w:r>
        <w:rPr>
          <w:spacing w:val="-3"/>
        </w:rPr>
        <w:t>元</w:t>
      </w:r>
      <w:r>
        <w:rPr>
          <w:rFonts w:ascii="Times New Roman" w:hAnsi="Times New Roman" w:eastAsia="Times New Roman" w:cs="Times New Roman"/>
          <w:spacing w:val="-3"/>
        </w:rPr>
        <w:t>/kwh</w:t>
      </w:r>
      <w:r>
        <w:rPr>
          <w:rFonts w:ascii="Times New Roman" w:hAnsi="Times New Roman" w:eastAsia="Times New Roman" w:cs="Times New Roman"/>
          <w:spacing w:val="-37"/>
        </w:rPr>
        <w:t xml:space="preserve"> </w:t>
      </w:r>
      <w:r>
        <w:rPr>
          <w:spacing w:val="-3"/>
        </w:rPr>
        <w:t>，风价取</w:t>
      </w:r>
      <w:r>
        <w:rPr>
          <w:rFonts w:ascii="Times New Roman" w:hAnsi="Times New Roman" w:eastAsia="Times New Roman" w:cs="Times New Roman"/>
          <w:spacing w:val="-3"/>
        </w:rPr>
        <w:t>0.5</w:t>
      </w:r>
      <w:r>
        <w:rPr>
          <w:spacing w:val="-9"/>
        </w:rPr>
        <w:t>元</w:t>
      </w:r>
      <w:r>
        <w:rPr>
          <w:rFonts w:ascii="Times New Roman" w:hAnsi="Times New Roman" w:eastAsia="Times New Roman" w:cs="Times New Roman"/>
          <w:spacing w:val="-9"/>
        </w:rPr>
        <w:t>/m</w:t>
      </w:r>
      <w:r>
        <w:rPr>
          <w:rFonts w:ascii="Times New Roman" w:hAnsi="Times New Roman" w:eastAsia="Times New Roman" w:cs="Times New Roman"/>
          <w:spacing w:val="-9"/>
          <w:position w:val="8"/>
          <w:sz w:val="18"/>
          <w:szCs w:val="18"/>
        </w:rPr>
        <w:t>3</w:t>
      </w:r>
      <w:r>
        <w:rPr>
          <w:spacing w:val="-9"/>
        </w:rPr>
        <w:t>。</w:t>
      </w:r>
    </w:p>
    <w:p w14:paraId="120EC00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1.3.4</w:t>
      </w:r>
      <w:r>
        <w:rPr>
          <w:b/>
          <w:bCs/>
          <w:spacing w:val="-6"/>
        </w:rPr>
        <w:t>施工机械使用费</w:t>
      </w:r>
    </w:p>
    <w:p w14:paraId="6CD217D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pPr>
      <w:r>
        <w:rPr>
          <w:spacing w:val="-3"/>
        </w:rPr>
        <w:t>施工机械台班按陕水规计函【</w:t>
      </w:r>
      <w:r>
        <w:rPr>
          <w:rFonts w:ascii="Times New Roman" w:hAnsi="Times New Roman" w:eastAsia="Times New Roman" w:cs="Times New Roman"/>
          <w:spacing w:val="-3"/>
        </w:rPr>
        <w:t>2024</w:t>
      </w:r>
      <w:r>
        <w:rPr>
          <w:spacing w:val="-3"/>
        </w:rPr>
        <w:t>】</w:t>
      </w:r>
      <w:r>
        <w:rPr>
          <w:rFonts w:ascii="Times New Roman" w:hAnsi="Times New Roman" w:eastAsia="Times New Roman" w:cs="Times New Roman"/>
          <w:spacing w:val="-3"/>
        </w:rPr>
        <w:t>107</w:t>
      </w:r>
      <w:r>
        <w:rPr>
          <w:spacing w:val="-3"/>
        </w:rPr>
        <w:t>号文颁发的</w:t>
      </w:r>
      <w:r>
        <w:rPr>
          <w:spacing w:val="-4"/>
        </w:rPr>
        <w:t>《陕西省水利工程</w:t>
      </w:r>
      <w:r>
        <w:rPr>
          <w:spacing w:val="-2"/>
        </w:rPr>
        <w:t>施工机械台班费定额》计算。</w:t>
      </w:r>
    </w:p>
    <w:p w14:paraId="42D0FED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施工机械＝一类费用</w:t>
      </w:r>
      <w:r>
        <w:rPr>
          <w:rFonts w:ascii="Times New Roman" w:hAnsi="Times New Roman" w:eastAsia="Times New Roman" w:cs="Times New Roman"/>
          <w:spacing w:val="-2"/>
        </w:rPr>
        <w:t>+</w:t>
      </w:r>
      <w:r>
        <w:rPr>
          <w:spacing w:val="-2"/>
        </w:rPr>
        <w:t>二类费用</w:t>
      </w:r>
    </w:p>
    <w:p w14:paraId="2B8F0F7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一类费用直接套用《陕西省水利工程施工机械台班费定额》。</w:t>
      </w:r>
    </w:p>
    <w:p w14:paraId="5557C29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position w:val="1"/>
        </w:rPr>
        <w:t>一类费用</w:t>
      </w:r>
      <w:r>
        <w:rPr>
          <w:rFonts w:ascii="Times New Roman" w:hAnsi="Times New Roman" w:eastAsia="Times New Roman" w:cs="Times New Roman"/>
          <w:spacing w:val="-2"/>
          <w:position w:val="1"/>
        </w:rPr>
        <w:t>=Σ</w:t>
      </w:r>
      <w:r>
        <w:rPr>
          <w:spacing w:val="-2"/>
          <w:position w:val="1"/>
        </w:rPr>
        <w:t>定额一类费用各项消耗量；</w:t>
      </w:r>
    </w:p>
    <w:p w14:paraId="7BFC1A9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textAlignment w:val="baseline"/>
      </w:pPr>
      <w:r>
        <w:rPr>
          <w:spacing w:val="2"/>
        </w:rPr>
        <w:t>二类费用按《陕西省水利工程施工机械台班费定额》中的消耗量乘以</w:t>
      </w:r>
      <w:r>
        <w:rPr>
          <w:spacing w:val="-2"/>
        </w:rPr>
        <w:t>相应不含增值税进项税额基础单价或本规定主要材料价格计算，</w:t>
      </w:r>
    </w:p>
    <w:p w14:paraId="703736C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pPr>
      <w:r>
        <w:rPr>
          <w:spacing w:val="-4"/>
        </w:rPr>
        <w:t>二类费用</w:t>
      </w:r>
      <w:r>
        <w:rPr>
          <w:rFonts w:ascii="Times New Roman" w:hAnsi="Times New Roman" w:eastAsia="Times New Roman" w:cs="Times New Roman"/>
          <w:spacing w:val="-4"/>
        </w:rPr>
        <w:t>=Σ</w:t>
      </w:r>
      <w:r>
        <w:rPr>
          <w:spacing w:val="-4"/>
        </w:rPr>
        <w:t>（定额二类费用各项消耗量</w:t>
      </w:r>
      <w:r>
        <w:rPr>
          <w:rFonts w:ascii="Times New Roman" w:hAnsi="Times New Roman" w:eastAsia="Times New Roman" w:cs="Times New Roman"/>
          <w:spacing w:val="-4"/>
        </w:rPr>
        <w:t>×</w:t>
      </w:r>
      <w:r>
        <w:rPr>
          <w:spacing w:val="-4"/>
        </w:rPr>
        <w:t>各项基础单价或本规定各项主要材料价格）。</w:t>
      </w:r>
    </w:p>
    <w:p w14:paraId="6BDD6CA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outlineLvl w:val="0"/>
      </w:pPr>
      <w:r>
        <w:rPr>
          <w:rFonts w:ascii="Times New Roman" w:hAnsi="Times New Roman" w:eastAsia="Times New Roman" w:cs="Times New Roman"/>
          <w:b/>
          <w:bCs/>
          <w:spacing w:val="-5"/>
        </w:rPr>
        <w:t>1.3.5</w:t>
      </w:r>
      <w:r>
        <w:rPr>
          <w:b/>
          <w:bCs/>
          <w:spacing w:val="-5"/>
        </w:rPr>
        <w:t>砂石料单价</w:t>
      </w:r>
    </w:p>
    <w:p w14:paraId="3321503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textAlignment w:val="baseline"/>
      </w:pPr>
      <w:r>
        <w:rPr>
          <w:spacing w:val="2"/>
        </w:rPr>
        <w:t>外购成品砂石料单价按询价后确定的不含增值税进项税额的合理价格</w:t>
      </w:r>
      <w:r>
        <w:rPr>
          <w:spacing w:val="-2"/>
        </w:rPr>
        <w:t>加从采购点运至工地的运杂费计算。</w:t>
      </w:r>
    </w:p>
    <w:p w14:paraId="24F72AD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1.3.6</w:t>
      </w:r>
      <w:r>
        <w:rPr>
          <w:b/>
          <w:bCs/>
          <w:spacing w:val="-6"/>
        </w:rPr>
        <w:t>混凝土材料单价</w:t>
      </w:r>
    </w:p>
    <w:p w14:paraId="0D937DD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4" w:firstLineChars="200"/>
        <w:jc w:val="both"/>
        <w:textAlignment w:val="baseline"/>
      </w:pPr>
      <w:r>
        <w:rPr>
          <w:spacing w:val="6"/>
        </w:rPr>
        <w:t>本项目采用商品混凝土，其它混凝土工程单价。其配合比参</w:t>
      </w:r>
      <w:r>
        <w:rPr>
          <w:spacing w:val="5"/>
        </w:rPr>
        <w:t>考《陕西</w:t>
      </w:r>
      <w:r>
        <w:rPr>
          <w:spacing w:val="6"/>
        </w:rPr>
        <w:t>省水利建筑工程概算定额》（</w:t>
      </w:r>
      <w:r>
        <w:rPr>
          <w:rFonts w:ascii="Times New Roman" w:hAnsi="Times New Roman" w:eastAsia="Times New Roman" w:cs="Times New Roman"/>
          <w:spacing w:val="6"/>
        </w:rPr>
        <w:t>2024</w:t>
      </w:r>
      <w:r>
        <w:rPr>
          <w:spacing w:val="6"/>
        </w:rPr>
        <w:t>年修正）</w:t>
      </w:r>
      <w:r>
        <w:rPr>
          <w:spacing w:val="5"/>
        </w:rPr>
        <w:t>附录混凝土、砂浆配合比及材</w:t>
      </w:r>
      <w:r>
        <w:rPr>
          <w:spacing w:val="-4"/>
        </w:rPr>
        <w:t>料用量。</w:t>
      </w:r>
    </w:p>
    <w:p w14:paraId="4C8F087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1.4</w:t>
      </w:r>
      <w:r>
        <w:rPr>
          <w:b/>
          <w:bCs/>
          <w:spacing w:val="-6"/>
        </w:rPr>
        <w:t>工程单价</w:t>
      </w:r>
    </w:p>
    <w:p w14:paraId="728F498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pPr>
      <w:r>
        <w:rPr>
          <w:spacing w:val="-4"/>
          <w:position w:val="1"/>
        </w:rPr>
        <w:t>建筑工程单价</w:t>
      </w:r>
      <w:r>
        <w:rPr>
          <w:rFonts w:ascii="Times New Roman" w:hAnsi="Times New Roman" w:eastAsia="Times New Roman" w:cs="Times New Roman"/>
          <w:spacing w:val="-4"/>
          <w:position w:val="1"/>
        </w:rPr>
        <w:t>=</w:t>
      </w:r>
      <w:r>
        <w:rPr>
          <w:spacing w:val="-4"/>
          <w:position w:val="1"/>
        </w:rPr>
        <w:t>直接费</w:t>
      </w:r>
      <w:r>
        <w:rPr>
          <w:rFonts w:ascii="Times New Roman" w:hAnsi="Times New Roman" w:eastAsia="Times New Roman" w:cs="Times New Roman"/>
          <w:spacing w:val="-4"/>
          <w:position w:val="1"/>
        </w:rPr>
        <w:t>+</w:t>
      </w:r>
      <w:r>
        <w:rPr>
          <w:rFonts w:ascii="Times New Roman" w:hAnsi="Times New Roman" w:eastAsia="Times New Roman" w:cs="Times New Roman"/>
          <w:spacing w:val="-33"/>
          <w:position w:val="1"/>
        </w:rPr>
        <w:t xml:space="preserve"> </w:t>
      </w:r>
      <w:r>
        <w:rPr>
          <w:spacing w:val="-4"/>
          <w:position w:val="1"/>
        </w:rPr>
        <w:t>间接费</w:t>
      </w:r>
      <w:r>
        <w:rPr>
          <w:rFonts w:ascii="Times New Roman" w:hAnsi="Times New Roman" w:eastAsia="Times New Roman" w:cs="Times New Roman"/>
          <w:spacing w:val="-4"/>
          <w:position w:val="1"/>
        </w:rPr>
        <w:t>+</w:t>
      </w:r>
      <w:r>
        <w:rPr>
          <w:spacing w:val="-4"/>
          <w:position w:val="1"/>
        </w:rPr>
        <w:t>利润</w:t>
      </w:r>
      <w:r>
        <w:rPr>
          <w:rFonts w:ascii="Times New Roman" w:hAnsi="Times New Roman" w:eastAsia="Times New Roman" w:cs="Times New Roman"/>
          <w:spacing w:val="-4"/>
          <w:position w:val="1"/>
        </w:rPr>
        <w:t>+</w:t>
      </w:r>
      <w:r>
        <w:rPr>
          <w:spacing w:val="-4"/>
          <w:position w:val="1"/>
        </w:rPr>
        <w:t>价差</w:t>
      </w:r>
      <w:r>
        <w:rPr>
          <w:rFonts w:ascii="Times New Roman" w:hAnsi="Times New Roman" w:eastAsia="Times New Roman" w:cs="Times New Roman"/>
          <w:spacing w:val="-4"/>
          <w:position w:val="1"/>
        </w:rPr>
        <w:t>+</w:t>
      </w:r>
      <w:r>
        <w:rPr>
          <w:spacing w:val="-4"/>
          <w:position w:val="1"/>
        </w:rPr>
        <w:t>税金。</w:t>
      </w:r>
    </w:p>
    <w:p w14:paraId="3507493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1.4.1</w:t>
      </w:r>
      <w:r>
        <w:rPr>
          <w:b/>
          <w:bCs/>
          <w:spacing w:val="-6"/>
        </w:rPr>
        <w:t>直接费</w:t>
      </w:r>
    </w:p>
    <w:p w14:paraId="241D46B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position w:val="1"/>
        </w:rPr>
        <w:t>直接费</w:t>
      </w:r>
      <w:r>
        <w:rPr>
          <w:rFonts w:ascii="Times New Roman" w:hAnsi="Times New Roman" w:eastAsia="Times New Roman" w:cs="Times New Roman"/>
          <w:spacing w:val="-2"/>
          <w:position w:val="1"/>
        </w:rPr>
        <w:t>=</w:t>
      </w:r>
      <w:r>
        <w:rPr>
          <w:spacing w:val="-2"/>
          <w:position w:val="1"/>
        </w:rPr>
        <w:t>基本直接费</w:t>
      </w:r>
      <w:r>
        <w:rPr>
          <w:rFonts w:ascii="Times New Roman" w:hAnsi="Times New Roman" w:eastAsia="Times New Roman" w:cs="Times New Roman"/>
          <w:spacing w:val="-2"/>
          <w:position w:val="1"/>
        </w:rPr>
        <w:t>+</w:t>
      </w:r>
      <w:r>
        <w:rPr>
          <w:spacing w:val="-2"/>
          <w:position w:val="1"/>
        </w:rPr>
        <w:t>其他直接费。</w:t>
      </w:r>
    </w:p>
    <w:p w14:paraId="7E20FB1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pPr>
      <w:r>
        <w:rPr>
          <w:spacing w:val="-5"/>
        </w:rPr>
        <w:t>（</w:t>
      </w:r>
      <w:r>
        <w:rPr>
          <w:rFonts w:ascii="Times New Roman" w:hAnsi="Times New Roman" w:eastAsia="Times New Roman" w:cs="Times New Roman"/>
          <w:spacing w:val="-5"/>
        </w:rPr>
        <w:t>1</w:t>
      </w:r>
      <w:r>
        <w:rPr>
          <w:spacing w:val="-5"/>
        </w:rPr>
        <w:t>）基本直接费</w:t>
      </w:r>
    </w:p>
    <w:p w14:paraId="635B41A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position w:val="1"/>
        </w:rPr>
        <w:t>基本直接费</w:t>
      </w:r>
      <w:r>
        <w:rPr>
          <w:rFonts w:ascii="Times New Roman" w:hAnsi="Times New Roman" w:eastAsia="Times New Roman" w:cs="Times New Roman"/>
          <w:spacing w:val="-2"/>
          <w:position w:val="1"/>
        </w:rPr>
        <w:t>=</w:t>
      </w:r>
      <w:r>
        <w:rPr>
          <w:spacing w:val="-2"/>
          <w:position w:val="1"/>
        </w:rPr>
        <w:t>人工费</w:t>
      </w:r>
      <w:r>
        <w:rPr>
          <w:rFonts w:ascii="Times New Roman" w:hAnsi="Times New Roman" w:eastAsia="Times New Roman" w:cs="Times New Roman"/>
          <w:spacing w:val="-2"/>
          <w:position w:val="1"/>
        </w:rPr>
        <w:t>+</w:t>
      </w:r>
      <w:r>
        <w:rPr>
          <w:spacing w:val="-2"/>
          <w:position w:val="1"/>
        </w:rPr>
        <w:t>材料费</w:t>
      </w:r>
      <w:r>
        <w:rPr>
          <w:rFonts w:ascii="Times New Roman" w:hAnsi="Times New Roman" w:eastAsia="Times New Roman" w:cs="Times New Roman"/>
          <w:spacing w:val="-2"/>
          <w:position w:val="1"/>
        </w:rPr>
        <w:t>+</w:t>
      </w:r>
      <w:r>
        <w:rPr>
          <w:spacing w:val="-2"/>
          <w:position w:val="1"/>
        </w:rPr>
        <w:t>施工机械使用费，</w:t>
      </w:r>
    </w:p>
    <w:p w14:paraId="7F2E786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人工费、材料费和机械费以定额数量乘基础单价计算。</w:t>
      </w:r>
    </w:p>
    <w:p w14:paraId="43C578E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pPr>
      <w:r>
        <w:rPr>
          <w:spacing w:val="-5"/>
        </w:rPr>
        <w:t>（</w:t>
      </w:r>
      <w:r>
        <w:rPr>
          <w:rFonts w:ascii="Times New Roman" w:hAnsi="Times New Roman" w:eastAsia="Times New Roman" w:cs="Times New Roman"/>
          <w:spacing w:val="-5"/>
        </w:rPr>
        <w:t>2</w:t>
      </w:r>
      <w:r>
        <w:rPr>
          <w:spacing w:val="-5"/>
        </w:rPr>
        <w:t>）其他直接费</w:t>
      </w:r>
    </w:p>
    <w:p w14:paraId="4150224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pPr>
      <w:r>
        <w:rPr>
          <w:spacing w:val="1"/>
        </w:rPr>
        <w:t>其他直接费</w:t>
      </w:r>
      <w:r>
        <w:rPr>
          <w:rFonts w:ascii="Times New Roman" w:hAnsi="Times New Roman" w:eastAsia="Times New Roman" w:cs="Times New Roman"/>
          <w:spacing w:val="1"/>
        </w:rPr>
        <w:t>=</w:t>
      </w:r>
      <w:r>
        <w:rPr>
          <w:spacing w:val="1"/>
        </w:rPr>
        <w:t>基本直接费</w:t>
      </w:r>
      <w:r>
        <w:rPr>
          <w:rFonts w:ascii="Times New Roman" w:hAnsi="Times New Roman" w:eastAsia="Times New Roman" w:cs="Times New Roman"/>
          <w:spacing w:val="1"/>
        </w:rPr>
        <w:t>×</w:t>
      </w:r>
      <w:r>
        <w:rPr>
          <w:spacing w:val="1"/>
        </w:rPr>
        <w:t>其他直接费费率。其他直接费</w:t>
      </w:r>
      <w:r>
        <w:t>费率</w:t>
      </w:r>
      <w:r>
        <w:rPr>
          <w:rFonts w:ascii="Times New Roman" w:hAnsi="Times New Roman" w:eastAsia="Times New Roman" w:cs="Times New Roman"/>
        </w:rPr>
        <w:t>=</w:t>
      </w:r>
      <w:r>
        <w:t>冬雨季</w:t>
      </w:r>
      <w:r>
        <w:rPr>
          <w:spacing w:val="3"/>
        </w:rPr>
        <w:t>施工增加费费率</w:t>
      </w:r>
      <w:r>
        <w:rPr>
          <w:rFonts w:ascii="Times New Roman" w:hAnsi="Times New Roman" w:eastAsia="Times New Roman" w:cs="Times New Roman"/>
          <w:spacing w:val="3"/>
        </w:rPr>
        <w:t>+</w:t>
      </w:r>
      <w:r>
        <w:rPr>
          <w:spacing w:val="3"/>
        </w:rPr>
        <w:t>夜间施工增加费费率</w:t>
      </w:r>
      <w:r>
        <w:rPr>
          <w:rFonts w:ascii="Times New Roman" w:hAnsi="Times New Roman" w:eastAsia="Times New Roman" w:cs="Times New Roman"/>
          <w:spacing w:val="3"/>
        </w:rPr>
        <w:t>+</w:t>
      </w:r>
      <w:r>
        <w:rPr>
          <w:spacing w:val="3"/>
        </w:rPr>
        <w:t>安全文明施工措施费</w:t>
      </w:r>
      <w:r>
        <w:rPr>
          <w:spacing w:val="2"/>
        </w:rPr>
        <w:t>费率</w:t>
      </w:r>
      <w:r>
        <w:rPr>
          <w:rFonts w:ascii="Times New Roman" w:hAnsi="Times New Roman" w:eastAsia="Times New Roman" w:cs="Times New Roman"/>
          <w:spacing w:val="2"/>
        </w:rPr>
        <w:t>+</w:t>
      </w:r>
      <w:r>
        <w:rPr>
          <w:spacing w:val="2"/>
        </w:rPr>
        <w:t>小型临</w:t>
      </w:r>
      <w:r>
        <w:rPr>
          <w:spacing w:val="-2"/>
        </w:rPr>
        <w:t>时设施摊销费费率</w:t>
      </w:r>
      <w:r>
        <w:rPr>
          <w:rFonts w:ascii="Times New Roman" w:hAnsi="Times New Roman" w:eastAsia="Times New Roman" w:cs="Times New Roman"/>
          <w:spacing w:val="-2"/>
        </w:rPr>
        <w:t>+</w:t>
      </w:r>
      <w:r>
        <w:rPr>
          <w:spacing w:val="-2"/>
        </w:rPr>
        <w:t>其他费率。</w:t>
      </w:r>
    </w:p>
    <w:p w14:paraId="512D77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textAlignment w:val="baseline"/>
      </w:pPr>
      <w:r>
        <w:t>其他直接费率：本工程地处关中地区，建筑工程为</w:t>
      </w:r>
      <w:r>
        <w:rPr>
          <w:rFonts w:ascii="Times New Roman" w:hAnsi="Times New Roman" w:eastAsia="Times New Roman" w:cs="Times New Roman"/>
        </w:rPr>
        <w:t>3.75%</w:t>
      </w:r>
      <w:r>
        <w:rPr>
          <w:rFonts w:ascii="Times New Roman" w:hAnsi="Times New Roman" w:eastAsia="Times New Roman" w:cs="Times New Roman"/>
          <w:spacing w:val="-38"/>
        </w:rPr>
        <w:t xml:space="preserve"> </w:t>
      </w:r>
      <w:r>
        <w:t>、设备安装工</w:t>
      </w:r>
      <w:r>
        <w:rPr>
          <w:spacing w:val="-6"/>
        </w:rPr>
        <w:t>程为</w:t>
      </w:r>
      <w:r>
        <w:rPr>
          <w:rFonts w:ascii="Times New Roman" w:hAnsi="Times New Roman" w:eastAsia="Times New Roman" w:cs="Times New Roman"/>
          <w:spacing w:val="-6"/>
        </w:rPr>
        <w:t>4.</w:t>
      </w:r>
      <w:r>
        <w:rPr>
          <w:rFonts w:ascii="Times New Roman" w:hAnsi="Times New Roman" w:eastAsia="Times New Roman" w:cs="Times New Roman"/>
          <w:spacing w:val="-35"/>
        </w:rPr>
        <w:t xml:space="preserve"> </w:t>
      </w:r>
      <w:r>
        <w:rPr>
          <w:rFonts w:ascii="Times New Roman" w:hAnsi="Times New Roman" w:eastAsia="Times New Roman" w:cs="Times New Roman"/>
          <w:spacing w:val="-6"/>
        </w:rPr>
        <w:t>1%</w:t>
      </w:r>
      <w:r>
        <w:rPr>
          <w:spacing w:val="-6"/>
        </w:rPr>
        <w:t>，砂石备料工程</w:t>
      </w:r>
      <w:r>
        <w:rPr>
          <w:rFonts w:ascii="Times New Roman" w:hAnsi="Times New Roman" w:eastAsia="Times New Roman" w:cs="Times New Roman"/>
          <w:spacing w:val="-6"/>
        </w:rPr>
        <w:t>0.5%</w:t>
      </w:r>
      <w:r>
        <w:rPr>
          <w:spacing w:val="-6"/>
        </w:rPr>
        <w:t>。</w:t>
      </w:r>
    </w:p>
    <w:p w14:paraId="28EE40A0">
      <w:pPr>
        <w:pStyle w:val="2"/>
        <w:spacing w:before="1" w:line="220" w:lineRule="auto"/>
        <w:ind w:left="555"/>
        <w:outlineLvl w:val="0"/>
      </w:pPr>
      <w:r>
        <w:rPr>
          <w:rFonts w:ascii="Times New Roman" w:hAnsi="Times New Roman" w:eastAsia="Times New Roman" w:cs="Times New Roman"/>
          <w:b/>
          <w:bCs/>
          <w:spacing w:val="-6"/>
        </w:rPr>
        <w:t>1.4.2</w:t>
      </w:r>
      <w:r>
        <w:rPr>
          <w:b/>
          <w:bCs/>
          <w:spacing w:val="-6"/>
        </w:rPr>
        <w:t>间接费</w:t>
      </w:r>
    </w:p>
    <w:p w14:paraId="13C00442">
      <w:pPr>
        <w:pStyle w:val="2"/>
        <w:spacing w:before="157" w:line="378" w:lineRule="exact"/>
        <w:ind w:left="570"/>
      </w:pPr>
      <w:r>
        <w:rPr>
          <w:spacing w:val="-5"/>
          <w:position w:val="1"/>
        </w:rPr>
        <w:t>间接费</w:t>
      </w:r>
      <w:r>
        <w:rPr>
          <w:rFonts w:ascii="Times New Roman" w:hAnsi="Times New Roman" w:eastAsia="Times New Roman" w:cs="Times New Roman"/>
          <w:spacing w:val="-5"/>
          <w:position w:val="1"/>
        </w:rPr>
        <w:t>=</w:t>
      </w:r>
      <w:r>
        <w:rPr>
          <w:spacing w:val="-5"/>
          <w:position w:val="1"/>
        </w:rPr>
        <w:t>直接费</w:t>
      </w:r>
      <w:r>
        <w:rPr>
          <w:rFonts w:ascii="Times New Roman" w:hAnsi="Times New Roman" w:eastAsia="Times New Roman" w:cs="Times New Roman"/>
          <w:spacing w:val="-5"/>
          <w:position w:val="1"/>
        </w:rPr>
        <w:t>×</w:t>
      </w:r>
      <w:r>
        <w:rPr>
          <w:spacing w:val="-5"/>
          <w:position w:val="1"/>
        </w:rPr>
        <w:t>间接费费率。</w:t>
      </w:r>
    </w:p>
    <w:p w14:paraId="51CAA6D7">
      <w:pPr>
        <w:pStyle w:val="2"/>
        <w:spacing w:before="220" w:line="220" w:lineRule="auto"/>
        <w:ind w:left="567"/>
      </w:pPr>
      <w:r>
        <w:rPr>
          <w:spacing w:val="-6"/>
        </w:rPr>
        <w:t>间接费率：按不同工程项目分别计取，如下表。</w:t>
      </w:r>
    </w:p>
    <w:p w14:paraId="1C2B5D17">
      <w:pPr>
        <w:spacing w:line="430" w:lineRule="auto"/>
        <w:rPr>
          <w:rFonts w:ascii="Arial"/>
          <w:sz w:val="21"/>
        </w:rPr>
      </w:pPr>
    </w:p>
    <w:p w14:paraId="5E361BE7">
      <w:pPr>
        <w:pStyle w:val="2"/>
        <w:spacing w:before="91" w:line="220" w:lineRule="auto"/>
        <w:ind w:left="4104"/>
      </w:pPr>
      <w:r>
        <w:rPr>
          <w:b/>
          <w:bCs/>
          <w:spacing w:val="-13"/>
        </w:rPr>
        <w:t>间接费费率表</w:t>
      </w:r>
    </w:p>
    <w:p w14:paraId="447D7B1F">
      <w:pPr>
        <w:spacing w:before="155"/>
      </w:pPr>
    </w:p>
    <w:tbl>
      <w:tblPr>
        <w:tblStyle w:val="7"/>
        <w:tblW w:w="9226" w:type="dxa"/>
        <w:tblInd w:w="1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
        <w:gridCol w:w="2748"/>
        <w:gridCol w:w="2122"/>
        <w:gridCol w:w="2021"/>
        <w:gridCol w:w="1513"/>
      </w:tblGrid>
      <w:tr w14:paraId="0F780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822" w:type="dxa"/>
            <w:tcBorders>
              <w:top w:val="single" w:color="000000" w:sz="8" w:space="0"/>
              <w:left w:val="single" w:color="000000" w:sz="8" w:space="0"/>
            </w:tcBorders>
            <w:vAlign w:val="top"/>
          </w:tcPr>
          <w:p w14:paraId="02CE6F43">
            <w:pPr>
              <w:spacing w:before="48" w:line="210" w:lineRule="auto"/>
              <w:ind w:left="138"/>
              <w:rPr>
                <w:rFonts w:ascii="宋体" w:hAnsi="宋体" w:eastAsia="宋体" w:cs="宋体"/>
                <w:sz w:val="28"/>
                <w:szCs w:val="28"/>
              </w:rPr>
            </w:pPr>
            <w:r>
              <w:rPr>
                <w:rFonts w:ascii="宋体" w:hAnsi="宋体" w:eastAsia="宋体" w:cs="宋体"/>
                <w:spacing w:val="-5"/>
                <w:sz w:val="28"/>
                <w:szCs w:val="28"/>
              </w:rPr>
              <w:t>序号</w:t>
            </w:r>
          </w:p>
        </w:tc>
        <w:tc>
          <w:tcPr>
            <w:tcW w:w="2748" w:type="dxa"/>
            <w:tcBorders>
              <w:top w:val="single" w:color="000000" w:sz="8" w:space="0"/>
            </w:tcBorders>
            <w:vAlign w:val="top"/>
          </w:tcPr>
          <w:p w14:paraId="4142598C">
            <w:pPr>
              <w:spacing w:before="48" w:line="210" w:lineRule="auto"/>
              <w:ind w:left="829"/>
              <w:rPr>
                <w:rFonts w:ascii="宋体" w:hAnsi="宋体" w:eastAsia="宋体" w:cs="宋体"/>
                <w:sz w:val="28"/>
                <w:szCs w:val="28"/>
              </w:rPr>
            </w:pPr>
            <w:r>
              <w:rPr>
                <w:rFonts w:ascii="宋体" w:hAnsi="宋体" w:eastAsia="宋体" w:cs="宋体"/>
                <w:spacing w:val="-6"/>
                <w:sz w:val="28"/>
                <w:szCs w:val="28"/>
              </w:rPr>
              <w:t>项目名称</w:t>
            </w:r>
          </w:p>
        </w:tc>
        <w:tc>
          <w:tcPr>
            <w:tcW w:w="2122" w:type="dxa"/>
            <w:tcBorders>
              <w:top w:val="single" w:color="000000" w:sz="8" w:space="0"/>
            </w:tcBorders>
            <w:vAlign w:val="top"/>
          </w:tcPr>
          <w:p w14:paraId="4F5E2E7F">
            <w:pPr>
              <w:spacing w:before="48" w:line="210" w:lineRule="auto"/>
              <w:ind w:left="521"/>
              <w:rPr>
                <w:rFonts w:ascii="宋体" w:hAnsi="宋体" w:eastAsia="宋体" w:cs="宋体"/>
                <w:sz w:val="28"/>
                <w:szCs w:val="28"/>
              </w:rPr>
            </w:pPr>
            <w:r>
              <w:rPr>
                <w:rFonts w:ascii="宋体" w:hAnsi="宋体" w:eastAsia="宋体" w:cs="宋体"/>
                <w:spacing w:val="-6"/>
                <w:sz w:val="28"/>
                <w:szCs w:val="28"/>
              </w:rPr>
              <w:t>取费基数</w:t>
            </w:r>
          </w:p>
        </w:tc>
        <w:tc>
          <w:tcPr>
            <w:tcW w:w="2021" w:type="dxa"/>
            <w:tcBorders>
              <w:top w:val="single" w:color="000000" w:sz="8" w:space="0"/>
            </w:tcBorders>
            <w:vAlign w:val="top"/>
          </w:tcPr>
          <w:p w14:paraId="3946A5C0">
            <w:pPr>
              <w:pStyle w:val="8"/>
              <w:spacing w:before="48" w:line="210" w:lineRule="auto"/>
              <w:ind w:left="376"/>
              <w:rPr>
                <w:rFonts w:ascii="宋体" w:hAnsi="宋体" w:eastAsia="宋体" w:cs="宋体"/>
              </w:rPr>
            </w:pPr>
            <w:r>
              <w:rPr>
                <w:rFonts w:ascii="宋体" w:hAnsi="宋体" w:eastAsia="宋体" w:cs="宋体"/>
                <w:spacing w:val="-9"/>
              </w:rPr>
              <w:t>费率（</w:t>
            </w:r>
            <w:r>
              <w:rPr>
                <w:spacing w:val="-9"/>
              </w:rPr>
              <w:t>%</w:t>
            </w:r>
            <w:r>
              <w:rPr>
                <w:rFonts w:ascii="宋体" w:hAnsi="宋体" w:eastAsia="宋体" w:cs="宋体"/>
                <w:spacing w:val="-9"/>
              </w:rPr>
              <w:t>）</w:t>
            </w:r>
          </w:p>
        </w:tc>
        <w:tc>
          <w:tcPr>
            <w:tcW w:w="1513" w:type="dxa"/>
            <w:tcBorders>
              <w:top w:val="single" w:color="000000" w:sz="8" w:space="0"/>
              <w:right w:val="single" w:color="000000" w:sz="8" w:space="0"/>
            </w:tcBorders>
            <w:vAlign w:val="top"/>
          </w:tcPr>
          <w:p w14:paraId="5ABBC3F1">
            <w:pPr>
              <w:spacing w:before="48" w:line="210" w:lineRule="auto"/>
              <w:ind w:left="494"/>
              <w:rPr>
                <w:rFonts w:ascii="宋体" w:hAnsi="宋体" w:eastAsia="宋体" w:cs="宋体"/>
                <w:sz w:val="28"/>
                <w:szCs w:val="28"/>
              </w:rPr>
            </w:pPr>
            <w:r>
              <w:rPr>
                <w:rFonts w:ascii="宋体" w:hAnsi="宋体" w:eastAsia="宋体" w:cs="宋体"/>
                <w:spacing w:val="-7"/>
                <w:sz w:val="28"/>
                <w:szCs w:val="28"/>
              </w:rPr>
              <w:t>备注</w:t>
            </w:r>
          </w:p>
        </w:tc>
      </w:tr>
      <w:tr w14:paraId="3290A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822" w:type="dxa"/>
            <w:tcBorders>
              <w:left w:val="single" w:color="000000" w:sz="8" w:space="0"/>
            </w:tcBorders>
            <w:vAlign w:val="top"/>
          </w:tcPr>
          <w:p w14:paraId="22149639">
            <w:pPr>
              <w:spacing w:before="146" w:line="208" w:lineRule="exact"/>
              <w:ind w:left="278"/>
              <w:rPr>
                <w:rFonts w:ascii="宋体" w:hAnsi="宋体" w:eastAsia="宋体" w:cs="宋体"/>
                <w:sz w:val="28"/>
                <w:szCs w:val="28"/>
              </w:rPr>
            </w:pPr>
            <w:r>
              <w:rPr>
                <w:rFonts w:ascii="宋体" w:hAnsi="宋体" w:eastAsia="宋体" w:cs="宋体"/>
                <w:position w:val="-6"/>
                <w:sz w:val="28"/>
                <w:szCs w:val="28"/>
              </w:rPr>
              <w:t>一</w:t>
            </w:r>
          </w:p>
        </w:tc>
        <w:tc>
          <w:tcPr>
            <w:tcW w:w="2748" w:type="dxa"/>
            <w:vAlign w:val="top"/>
          </w:tcPr>
          <w:p w14:paraId="4E452EE7">
            <w:pPr>
              <w:spacing w:before="41" w:line="206" w:lineRule="auto"/>
              <w:ind w:left="828"/>
              <w:rPr>
                <w:rFonts w:ascii="宋体" w:hAnsi="宋体" w:eastAsia="宋体" w:cs="宋体"/>
                <w:sz w:val="28"/>
                <w:szCs w:val="28"/>
              </w:rPr>
            </w:pPr>
            <w:r>
              <w:rPr>
                <w:rFonts w:ascii="宋体" w:hAnsi="宋体" w:eastAsia="宋体" w:cs="宋体"/>
                <w:spacing w:val="-6"/>
                <w:sz w:val="28"/>
                <w:szCs w:val="28"/>
              </w:rPr>
              <w:t>建筑工程</w:t>
            </w:r>
          </w:p>
        </w:tc>
        <w:tc>
          <w:tcPr>
            <w:tcW w:w="2122" w:type="dxa"/>
            <w:vAlign w:val="top"/>
          </w:tcPr>
          <w:p w14:paraId="5D2ADDAF">
            <w:pPr>
              <w:rPr>
                <w:rFonts w:ascii="Arial"/>
                <w:sz w:val="21"/>
              </w:rPr>
            </w:pPr>
          </w:p>
        </w:tc>
        <w:tc>
          <w:tcPr>
            <w:tcW w:w="2021" w:type="dxa"/>
            <w:vAlign w:val="top"/>
          </w:tcPr>
          <w:p w14:paraId="17D09612">
            <w:pPr>
              <w:rPr>
                <w:rFonts w:ascii="Arial"/>
                <w:sz w:val="21"/>
              </w:rPr>
            </w:pPr>
          </w:p>
        </w:tc>
        <w:tc>
          <w:tcPr>
            <w:tcW w:w="1513" w:type="dxa"/>
            <w:tcBorders>
              <w:right w:val="single" w:color="000000" w:sz="8" w:space="0"/>
            </w:tcBorders>
            <w:vAlign w:val="top"/>
          </w:tcPr>
          <w:p w14:paraId="2358CA33">
            <w:pPr>
              <w:rPr>
                <w:rFonts w:ascii="Arial"/>
                <w:sz w:val="21"/>
              </w:rPr>
            </w:pPr>
          </w:p>
        </w:tc>
      </w:tr>
      <w:tr w14:paraId="37E52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822" w:type="dxa"/>
            <w:tcBorders>
              <w:left w:val="single" w:color="000000" w:sz="8" w:space="0"/>
            </w:tcBorders>
            <w:vAlign w:val="top"/>
          </w:tcPr>
          <w:p w14:paraId="62DA495D">
            <w:pPr>
              <w:pStyle w:val="8"/>
              <w:spacing w:before="90" w:line="189" w:lineRule="auto"/>
              <w:ind w:left="365"/>
            </w:pPr>
            <w:r>
              <w:t>1</w:t>
            </w:r>
          </w:p>
        </w:tc>
        <w:tc>
          <w:tcPr>
            <w:tcW w:w="2748" w:type="dxa"/>
            <w:vAlign w:val="top"/>
          </w:tcPr>
          <w:p w14:paraId="1C33BBEA">
            <w:pPr>
              <w:spacing w:before="44" w:line="204" w:lineRule="auto"/>
              <w:ind w:left="823"/>
              <w:rPr>
                <w:rFonts w:ascii="宋体" w:hAnsi="宋体" w:eastAsia="宋体" w:cs="宋体"/>
                <w:sz w:val="28"/>
                <w:szCs w:val="28"/>
              </w:rPr>
            </w:pPr>
            <w:r>
              <w:rPr>
                <w:rFonts w:ascii="宋体" w:hAnsi="宋体" w:eastAsia="宋体" w:cs="宋体"/>
                <w:spacing w:val="-5"/>
                <w:sz w:val="28"/>
                <w:szCs w:val="28"/>
              </w:rPr>
              <w:t>土方工程</w:t>
            </w:r>
          </w:p>
        </w:tc>
        <w:tc>
          <w:tcPr>
            <w:tcW w:w="2122" w:type="dxa"/>
            <w:vAlign w:val="top"/>
          </w:tcPr>
          <w:p w14:paraId="18FA95D5">
            <w:pPr>
              <w:spacing w:before="44" w:line="204" w:lineRule="auto"/>
              <w:ind w:left="656"/>
              <w:rPr>
                <w:rFonts w:ascii="宋体" w:hAnsi="宋体" w:eastAsia="宋体" w:cs="宋体"/>
                <w:sz w:val="28"/>
                <w:szCs w:val="28"/>
              </w:rPr>
            </w:pPr>
            <w:r>
              <w:rPr>
                <w:rFonts w:ascii="宋体" w:hAnsi="宋体" w:eastAsia="宋体" w:cs="宋体"/>
                <w:spacing w:val="-6"/>
                <w:sz w:val="28"/>
                <w:szCs w:val="28"/>
              </w:rPr>
              <w:t>直接费</w:t>
            </w:r>
          </w:p>
        </w:tc>
        <w:tc>
          <w:tcPr>
            <w:tcW w:w="2021" w:type="dxa"/>
            <w:vAlign w:val="top"/>
          </w:tcPr>
          <w:p w14:paraId="60B16D84">
            <w:pPr>
              <w:pStyle w:val="8"/>
              <w:spacing w:before="90" w:line="189" w:lineRule="auto"/>
              <w:ind w:left="949"/>
            </w:pPr>
            <w:r>
              <w:t>4</w:t>
            </w:r>
          </w:p>
        </w:tc>
        <w:tc>
          <w:tcPr>
            <w:tcW w:w="1513" w:type="dxa"/>
            <w:tcBorders>
              <w:right w:val="single" w:color="000000" w:sz="8" w:space="0"/>
            </w:tcBorders>
            <w:vAlign w:val="top"/>
          </w:tcPr>
          <w:p w14:paraId="6F48E202">
            <w:pPr>
              <w:rPr>
                <w:rFonts w:ascii="Arial"/>
                <w:sz w:val="21"/>
              </w:rPr>
            </w:pPr>
          </w:p>
        </w:tc>
      </w:tr>
      <w:tr w14:paraId="133D6F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822" w:type="dxa"/>
            <w:tcBorders>
              <w:left w:val="single" w:color="000000" w:sz="8" w:space="0"/>
            </w:tcBorders>
            <w:vAlign w:val="top"/>
          </w:tcPr>
          <w:p w14:paraId="28236227">
            <w:pPr>
              <w:pStyle w:val="8"/>
              <w:spacing w:before="93" w:line="189" w:lineRule="auto"/>
              <w:ind w:left="338"/>
            </w:pPr>
            <w:r>
              <w:t>2</w:t>
            </w:r>
          </w:p>
        </w:tc>
        <w:tc>
          <w:tcPr>
            <w:tcW w:w="2748" w:type="dxa"/>
            <w:vAlign w:val="top"/>
          </w:tcPr>
          <w:p w14:paraId="42106F8A">
            <w:pPr>
              <w:spacing w:before="44" w:line="204" w:lineRule="auto"/>
              <w:ind w:left="823"/>
              <w:rPr>
                <w:rFonts w:ascii="宋体" w:hAnsi="宋体" w:eastAsia="宋体" w:cs="宋体"/>
                <w:sz w:val="28"/>
                <w:szCs w:val="28"/>
              </w:rPr>
            </w:pPr>
            <w:r>
              <w:rPr>
                <w:rFonts w:ascii="宋体" w:hAnsi="宋体" w:eastAsia="宋体" w:cs="宋体"/>
                <w:spacing w:val="-5"/>
                <w:sz w:val="28"/>
                <w:szCs w:val="28"/>
              </w:rPr>
              <w:t>石方工程</w:t>
            </w:r>
          </w:p>
        </w:tc>
        <w:tc>
          <w:tcPr>
            <w:tcW w:w="2122" w:type="dxa"/>
            <w:vAlign w:val="top"/>
          </w:tcPr>
          <w:p w14:paraId="0C008703">
            <w:pPr>
              <w:spacing w:before="44" w:line="204" w:lineRule="auto"/>
              <w:ind w:left="656"/>
              <w:rPr>
                <w:rFonts w:ascii="宋体" w:hAnsi="宋体" w:eastAsia="宋体" w:cs="宋体"/>
                <w:sz w:val="28"/>
                <w:szCs w:val="28"/>
              </w:rPr>
            </w:pPr>
            <w:r>
              <w:rPr>
                <w:rFonts w:ascii="宋体" w:hAnsi="宋体" w:eastAsia="宋体" w:cs="宋体"/>
                <w:spacing w:val="-6"/>
                <w:sz w:val="28"/>
                <w:szCs w:val="28"/>
              </w:rPr>
              <w:t>直接费</w:t>
            </w:r>
          </w:p>
        </w:tc>
        <w:tc>
          <w:tcPr>
            <w:tcW w:w="2021" w:type="dxa"/>
            <w:vAlign w:val="top"/>
          </w:tcPr>
          <w:p w14:paraId="119713D9">
            <w:pPr>
              <w:pStyle w:val="8"/>
              <w:spacing w:before="93" w:line="189" w:lineRule="auto"/>
              <w:ind w:left="955"/>
            </w:pPr>
            <w:r>
              <w:t>6</w:t>
            </w:r>
          </w:p>
        </w:tc>
        <w:tc>
          <w:tcPr>
            <w:tcW w:w="1513" w:type="dxa"/>
            <w:tcBorders>
              <w:right w:val="single" w:color="000000" w:sz="8" w:space="0"/>
            </w:tcBorders>
            <w:vAlign w:val="top"/>
          </w:tcPr>
          <w:p w14:paraId="6C66A954">
            <w:pPr>
              <w:rPr>
                <w:rFonts w:ascii="Arial"/>
                <w:sz w:val="21"/>
              </w:rPr>
            </w:pPr>
          </w:p>
        </w:tc>
      </w:tr>
      <w:tr w14:paraId="690C8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822" w:type="dxa"/>
            <w:tcBorders>
              <w:left w:val="single" w:color="000000" w:sz="8" w:space="0"/>
            </w:tcBorders>
            <w:vAlign w:val="top"/>
          </w:tcPr>
          <w:p w14:paraId="514745BF">
            <w:pPr>
              <w:pStyle w:val="8"/>
              <w:spacing w:before="93" w:line="189" w:lineRule="auto"/>
              <w:ind w:left="343"/>
            </w:pPr>
            <w:r>
              <w:t>3</w:t>
            </w:r>
          </w:p>
        </w:tc>
        <w:tc>
          <w:tcPr>
            <w:tcW w:w="2748" w:type="dxa"/>
            <w:vAlign w:val="top"/>
          </w:tcPr>
          <w:p w14:paraId="1DD8C717">
            <w:pPr>
              <w:spacing w:before="47" w:line="202" w:lineRule="auto"/>
              <w:ind w:left="542"/>
              <w:rPr>
                <w:rFonts w:ascii="宋体" w:hAnsi="宋体" w:eastAsia="宋体" w:cs="宋体"/>
                <w:sz w:val="28"/>
                <w:szCs w:val="28"/>
              </w:rPr>
            </w:pPr>
            <w:r>
              <w:rPr>
                <w:rFonts w:ascii="宋体" w:hAnsi="宋体" w:eastAsia="宋体" w:cs="宋体"/>
                <w:spacing w:val="-3"/>
                <w:sz w:val="28"/>
                <w:szCs w:val="28"/>
              </w:rPr>
              <w:t>砂石备料工程</w:t>
            </w:r>
          </w:p>
        </w:tc>
        <w:tc>
          <w:tcPr>
            <w:tcW w:w="2122" w:type="dxa"/>
            <w:vAlign w:val="top"/>
          </w:tcPr>
          <w:p w14:paraId="26A8647E">
            <w:pPr>
              <w:spacing w:before="47" w:line="202" w:lineRule="auto"/>
              <w:ind w:left="656"/>
              <w:rPr>
                <w:rFonts w:ascii="宋体" w:hAnsi="宋体" w:eastAsia="宋体" w:cs="宋体"/>
                <w:sz w:val="28"/>
                <w:szCs w:val="28"/>
              </w:rPr>
            </w:pPr>
            <w:r>
              <w:rPr>
                <w:rFonts w:ascii="宋体" w:hAnsi="宋体" w:eastAsia="宋体" w:cs="宋体"/>
                <w:spacing w:val="-6"/>
                <w:sz w:val="28"/>
                <w:szCs w:val="28"/>
              </w:rPr>
              <w:t>直接费</w:t>
            </w:r>
          </w:p>
        </w:tc>
        <w:tc>
          <w:tcPr>
            <w:tcW w:w="2021" w:type="dxa"/>
            <w:vAlign w:val="top"/>
          </w:tcPr>
          <w:p w14:paraId="415FBF03">
            <w:pPr>
              <w:pStyle w:val="8"/>
              <w:spacing w:before="89" w:line="192" w:lineRule="auto"/>
              <w:ind w:left="974"/>
            </w:pPr>
            <w:r>
              <w:t>/</w:t>
            </w:r>
          </w:p>
        </w:tc>
        <w:tc>
          <w:tcPr>
            <w:tcW w:w="1513" w:type="dxa"/>
            <w:tcBorders>
              <w:right w:val="single" w:color="000000" w:sz="8" w:space="0"/>
            </w:tcBorders>
            <w:vAlign w:val="top"/>
          </w:tcPr>
          <w:p w14:paraId="21301968">
            <w:pPr>
              <w:rPr>
                <w:rFonts w:ascii="Arial"/>
                <w:sz w:val="21"/>
              </w:rPr>
            </w:pPr>
          </w:p>
        </w:tc>
      </w:tr>
      <w:tr w14:paraId="70FFB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822" w:type="dxa"/>
            <w:tcBorders>
              <w:left w:val="single" w:color="000000" w:sz="8" w:space="0"/>
            </w:tcBorders>
            <w:vAlign w:val="top"/>
          </w:tcPr>
          <w:p w14:paraId="6797A6DF">
            <w:pPr>
              <w:pStyle w:val="8"/>
              <w:spacing w:before="96" w:line="189" w:lineRule="auto"/>
              <w:ind w:left="336"/>
            </w:pPr>
            <w:r>
              <w:t>4</w:t>
            </w:r>
          </w:p>
        </w:tc>
        <w:tc>
          <w:tcPr>
            <w:tcW w:w="2748" w:type="dxa"/>
            <w:vAlign w:val="top"/>
          </w:tcPr>
          <w:p w14:paraId="55C0ED8E">
            <w:pPr>
              <w:spacing w:before="48" w:line="202" w:lineRule="auto"/>
              <w:ind w:left="821"/>
              <w:rPr>
                <w:rFonts w:ascii="宋体" w:hAnsi="宋体" w:eastAsia="宋体" w:cs="宋体"/>
                <w:sz w:val="28"/>
                <w:szCs w:val="28"/>
              </w:rPr>
            </w:pPr>
            <w:r>
              <w:rPr>
                <w:rFonts w:ascii="宋体" w:hAnsi="宋体" w:eastAsia="宋体" w:cs="宋体"/>
                <w:spacing w:val="-4"/>
                <w:sz w:val="28"/>
                <w:szCs w:val="28"/>
              </w:rPr>
              <w:t>模板工程</w:t>
            </w:r>
          </w:p>
        </w:tc>
        <w:tc>
          <w:tcPr>
            <w:tcW w:w="2122" w:type="dxa"/>
            <w:vAlign w:val="top"/>
          </w:tcPr>
          <w:p w14:paraId="2FD5AC6C">
            <w:pPr>
              <w:spacing w:before="48" w:line="202" w:lineRule="auto"/>
              <w:ind w:left="656"/>
              <w:rPr>
                <w:rFonts w:ascii="宋体" w:hAnsi="宋体" w:eastAsia="宋体" w:cs="宋体"/>
                <w:sz w:val="28"/>
                <w:szCs w:val="28"/>
              </w:rPr>
            </w:pPr>
            <w:r>
              <w:rPr>
                <w:rFonts w:ascii="宋体" w:hAnsi="宋体" w:eastAsia="宋体" w:cs="宋体"/>
                <w:spacing w:val="-6"/>
                <w:sz w:val="28"/>
                <w:szCs w:val="28"/>
              </w:rPr>
              <w:t>直接费</w:t>
            </w:r>
          </w:p>
        </w:tc>
        <w:tc>
          <w:tcPr>
            <w:tcW w:w="2021" w:type="dxa"/>
            <w:vAlign w:val="top"/>
          </w:tcPr>
          <w:p w14:paraId="2BB66D04">
            <w:pPr>
              <w:pStyle w:val="8"/>
              <w:spacing w:before="100" w:line="186" w:lineRule="auto"/>
              <w:ind w:left="958"/>
            </w:pPr>
            <w:r>
              <w:t>5</w:t>
            </w:r>
          </w:p>
        </w:tc>
        <w:tc>
          <w:tcPr>
            <w:tcW w:w="1513" w:type="dxa"/>
            <w:tcBorders>
              <w:right w:val="single" w:color="000000" w:sz="8" w:space="0"/>
            </w:tcBorders>
            <w:vAlign w:val="top"/>
          </w:tcPr>
          <w:p w14:paraId="3D2FC977">
            <w:pPr>
              <w:rPr>
                <w:rFonts w:ascii="Arial"/>
                <w:sz w:val="21"/>
              </w:rPr>
            </w:pPr>
          </w:p>
        </w:tc>
      </w:tr>
      <w:tr w14:paraId="17561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822" w:type="dxa"/>
            <w:tcBorders>
              <w:left w:val="single" w:color="000000" w:sz="8" w:space="0"/>
            </w:tcBorders>
            <w:vAlign w:val="top"/>
          </w:tcPr>
          <w:p w14:paraId="60D7D7E4">
            <w:pPr>
              <w:pStyle w:val="8"/>
              <w:spacing w:before="102" w:line="186" w:lineRule="auto"/>
              <w:ind w:left="345"/>
            </w:pPr>
            <w:r>
              <w:t>5</w:t>
            </w:r>
          </w:p>
        </w:tc>
        <w:tc>
          <w:tcPr>
            <w:tcW w:w="2748" w:type="dxa"/>
            <w:vAlign w:val="top"/>
          </w:tcPr>
          <w:p w14:paraId="622FD82D">
            <w:pPr>
              <w:spacing w:before="50" w:line="200" w:lineRule="auto"/>
              <w:ind w:left="686"/>
              <w:rPr>
                <w:rFonts w:ascii="宋体" w:hAnsi="宋体" w:eastAsia="宋体" w:cs="宋体"/>
                <w:sz w:val="28"/>
                <w:szCs w:val="28"/>
              </w:rPr>
            </w:pPr>
            <w:r>
              <w:rPr>
                <w:rFonts w:ascii="宋体" w:hAnsi="宋体" w:eastAsia="宋体" w:cs="宋体"/>
                <w:spacing w:val="-5"/>
                <w:sz w:val="28"/>
                <w:szCs w:val="28"/>
              </w:rPr>
              <w:t>混凝土工程</w:t>
            </w:r>
          </w:p>
        </w:tc>
        <w:tc>
          <w:tcPr>
            <w:tcW w:w="2122" w:type="dxa"/>
            <w:vAlign w:val="top"/>
          </w:tcPr>
          <w:p w14:paraId="28CE802F">
            <w:pPr>
              <w:spacing w:before="50" w:line="200" w:lineRule="auto"/>
              <w:ind w:left="656"/>
              <w:rPr>
                <w:rFonts w:ascii="宋体" w:hAnsi="宋体" w:eastAsia="宋体" w:cs="宋体"/>
                <w:sz w:val="28"/>
                <w:szCs w:val="28"/>
              </w:rPr>
            </w:pPr>
            <w:r>
              <w:rPr>
                <w:rFonts w:ascii="宋体" w:hAnsi="宋体" w:eastAsia="宋体" w:cs="宋体"/>
                <w:spacing w:val="-6"/>
                <w:sz w:val="28"/>
                <w:szCs w:val="28"/>
              </w:rPr>
              <w:t>直接费</w:t>
            </w:r>
          </w:p>
        </w:tc>
        <w:tc>
          <w:tcPr>
            <w:tcW w:w="2021" w:type="dxa"/>
            <w:vAlign w:val="top"/>
          </w:tcPr>
          <w:p w14:paraId="44601F53">
            <w:pPr>
              <w:pStyle w:val="8"/>
              <w:spacing w:before="98" w:line="189" w:lineRule="auto"/>
              <w:ind w:left="957"/>
            </w:pPr>
            <w:r>
              <w:t>6</w:t>
            </w:r>
          </w:p>
        </w:tc>
        <w:tc>
          <w:tcPr>
            <w:tcW w:w="1513" w:type="dxa"/>
            <w:tcBorders>
              <w:right w:val="single" w:color="000000" w:sz="8" w:space="0"/>
            </w:tcBorders>
            <w:vAlign w:val="top"/>
          </w:tcPr>
          <w:p w14:paraId="2E6052F1">
            <w:pPr>
              <w:rPr>
                <w:rFonts w:ascii="Arial"/>
                <w:sz w:val="21"/>
              </w:rPr>
            </w:pPr>
          </w:p>
        </w:tc>
      </w:tr>
      <w:tr w14:paraId="15224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822" w:type="dxa"/>
            <w:tcBorders>
              <w:left w:val="single" w:color="000000" w:sz="8" w:space="0"/>
            </w:tcBorders>
            <w:vAlign w:val="top"/>
          </w:tcPr>
          <w:p w14:paraId="7C193383">
            <w:pPr>
              <w:pStyle w:val="8"/>
              <w:spacing w:before="99" w:line="189" w:lineRule="auto"/>
              <w:ind w:left="344"/>
            </w:pPr>
            <w:r>
              <w:t>6</w:t>
            </w:r>
          </w:p>
        </w:tc>
        <w:tc>
          <w:tcPr>
            <w:tcW w:w="2748" w:type="dxa"/>
            <w:vAlign w:val="top"/>
          </w:tcPr>
          <w:p w14:paraId="3CFB97CB">
            <w:pPr>
              <w:spacing w:before="53" w:line="199" w:lineRule="auto"/>
              <w:ind w:left="258"/>
              <w:rPr>
                <w:rFonts w:ascii="宋体" w:hAnsi="宋体" w:eastAsia="宋体" w:cs="宋体"/>
                <w:sz w:val="28"/>
                <w:szCs w:val="28"/>
              </w:rPr>
            </w:pPr>
            <w:r>
              <w:rPr>
                <w:rFonts w:ascii="宋体" w:hAnsi="宋体" w:eastAsia="宋体" w:cs="宋体"/>
                <w:spacing w:val="-2"/>
                <w:sz w:val="28"/>
                <w:szCs w:val="28"/>
              </w:rPr>
              <w:t>钢筋制作安装工程</w:t>
            </w:r>
          </w:p>
        </w:tc>
        <w:tc>
          <w:tcPr>
            <w:tcW w:w="2122" w:type="dxa"/>
            <w:vAlign w:val="top"/>
          </w:tcPr>
          <w:p w14:paraId="01DA1D06">
            <w:pPr>
              <w:spacing w:before="53" w:line="199" w:lineRule="auto"/>
              <w:ind w:left="656"/>
              <w:rPr>
                <w:rFonts w:ascii="宋体" w:hAnsi="宋体" w:eastAsia="宋体" w:cs="宋体"/>
                <w:sz w:val="28"/>
                <w:szCs w:val="28"/>
              </w:rPr>
            </w:pPr>
            <w:r>
              <w:rPr>
                <w:rFonts w:ascii="宋体" w:hAnsi="宋体" w:eastAsia="宋体" w:cs="宋体"/>
                <w:spacing w:val="-6"/>
                <w:sz w:val="28"/>
                <w:szCs w:val="28"/>
              </w:rPr>
              <w:t>直接费</w:t>
            </w:r>
          </w:p>
        </w:tc>
        <w:tc>
          <w:tcPr>
            <w:tcW w:w="2021" w:type="dxa"/>
            <w:vAlign w:val="top"/>
          </w:tcPr>
          <w:p w14:paraId="5D89B313">
            <w:pPr>
              <w:pStyle w:val="8"/>
              <w:spacing w:before="103" w:line="186" w:lineRule="auto"/>
              <w:ind w:left="958"/>
            </w:pPr>
            <w:r>
              <w:t>5</w:t>
            </w:r>
          </w:p>
        </w:tc>
        <w:tc>
          <w:tcPr>
            <w:tcW w:w="1513" w:type="dxa"/>
            <w:tcBorders>
              <w:right w:val="single" w:color="000000" w:sz="8" w:space="0"/>
            </w:tcBorders>
            <w:vAlign w:val="top"/>
          </w:tcPr>
          <w:p w14:paraId="796C6DFC">
            <w:pPr>
              <w:rPr>
                <w:rFonts w:ascii="Arial"/>
                <w:sz w:val="21"/>
              </w:rPr>
            </w:pPr>
          </w:p>
        </w:tc>
      </w:tr>
      <w:tr w14:paraId="3841A6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822" w:type="dxa"/>
            <w:tcBorders>
              <w:left w:val="single" w:color="000000" w:sz="8" w:space="0"/>
            </w:tcBorders>
            <w:vAlign w:val="top"/>
          </w:tcPr>
          <w:p w14:paraId="1DC27E27">
            <w:pPr>
              <w:pStyle w:val="8"/>
              <w:spacing w:before="105" w:line="186" w:lineRule="auto"/>
              <w:ind w:left="342"/>
            </w:pPr>
            <w:r>
              <w:t>7</w:t>
            </w:r>
          </w:p>
        </w:tc>
        <w:tc>
          <w:tcPr>
            <w:tcW w:w="2748" w:type="dxa"/>
            <w:vAlign w:val="top"/>
          </w:tcPr>
          <w:p w14:paraId="3E40DCF5">
            <w:pPr>
              <w:spacing w:before="53" w:line="199" w:lineRule="auto"/>
              <w:ind w:left="126"/>
              <w:rPr>
                <w:rFonts w:ascii="宋体" w:hAnsi="宋体" w:eastAsia="宋体" w:cs="宋体"/>
                <w:sz w:val="28"/>
                <w:szCs w:val="28"/>
              </w:rPr>
            </w:pPr>
            <w:r>
              <w:rPr>
                <w:rFonts w:ascii="宋体" w:hAnsi="宋体" w:eastAsia="宋体" w:cs="宋体"/>
                <w:spacing w:val="-3"/>
                <w:sz w:val="28"/>
                <w:szCs w:val="28"/>
              </w:rPr>
              <w:t>钻孔灌浆及锚固工程</w:t>
            </w:r>
          </w:p>
        </w:tc>
        <w:tc>
          <w:tcPr>
            <w:tcW w:w="2122" w:type="dxa"/>
            <w:vAlign w:val="top"/>
          </w:tcPr>
          <w:p w14:paraId="3534F9D7">
            <w:pPr>
              <w:spacing w:before="53" w:line="199" w:lineRule="auto"/>
              <w:ind w:left="656"/>
              <w:rPr>
                <w:rFonts w:ascii="宋体" w:hAnsi="宋体" w:eastAsia="宋体" w:cs="宋体"/>
                <w:sz w:val="28"/>
                <w:szCs w:val="28"/>
              </w:rPr>
            </w:pPr>
            <w:r>
              <w:rPr>
                <w:rFonts w:ascii="宋体" w:hAnsi="宋体" w:eastAsia="宋体" w:cs="宋体"/>
                <w:spacing w:val="-6"/>
                <w:sz w:val="28"/>
                <w:szCs w:val="28"/>
              </w:rPr>
              <w:t>直接费</w:t>
            </w:r>
          </w:p>
        </w:tc>
        <w:tc>
          <w:tcPr>
            <w:tcW w:w="2021" w:type="dxa"/>
            <w:vAlign w:val="top"/>
          </w:tcPr>
          <w:p w14:paraId="224B01E0">
            <w:pPr>
              <w:pStyle w:val="8"/>
              <w:spacing w:before="101" w:line="189" w:lineRule="auto"/>
              <w:ind w:left="959"/>
            </w:pPr>
            <w:r>
              <w:t>9</w:t>
            </w:r>
          </w:p>
        </w:tc>
        <w:tc>
          <w:tcPr>
            <w:tcW w:w="1513" w:type="dxa"/>
            <w:tcBorders>
              <w:right w:val="single" w:color="000000" w:sz="8" w:space="0"/>
            </w:tcBorders>
            <w:vAlign w:val="top"/>
          </w:tcPr>
          <w:p w14:paraId="018151DE">
            <w:pPr>
              <w:rPr>
                <w:rFonts w:ascii="Arial"/>
                <w:sz w:val="21"/>
              </w:rPr>
            </w:pPr>
          </w:p>
        </w:tc>
      </w:tr>
      <w:tr w14:paraId="090BAC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822" w:type="dxa"/>
            <w:tcBorders>
              <w:left w:val="single" w:color="000000" w:sz="8" w:space="0"/>
            </w:tcBorders>
            <w:vAlign w:val="top"/>
          </w:tcPr>
          <w:p w14:paraId="71650784">
            <w:pPr>
              <w:pStyle w:val="8"/>
              <w:spacing w:before="104" w:line="187" w:lineRule="auto"/>
              <w:ind w:left="349"/>
            </w:pPr>
            <w:r>
              <w:t>8</w:t>
            </w:r>
          </w:p>
        </w:tc>
        <w:tc>
          <w:tcPr>
            <w:tcW w:w="2748" w:type="dxa"/>
            <w:vAlign w:val="top"/>
          </w:tcPr>
          <w:p w14:paraId="7861CE5C">
            <w:pPr>
              <w:spacing w:before="54" w:line="198" w:lineRule="auto"/>
              <w:ind w:left="823"/>
              <w:rPr>
                <w:rFonts w:ascii="宋体" w:hAnsi="宋体" w:eastAsia="宋体" w:cs="宋体"/>
                <w:sz w:val="28"/>
                <w:szCs w:val="28"/>
              </w:rPr>
            </w:pPr>
            <w:r>
              <w:rPr>
                <w:rFonts w:ascii="宋体" w:hAnsi="宋体" w:eastAsia="宋体" w:cs="宋体"/>
                <w:spacing w:val="-5"/>
                <w:sz w:val="28"/>
                <w:szCs w:val="28"/>
              </w:rPr>
              <w:t>疏浚工程</w:t>
            </w:r>
          </w:p>
        </w:tc>
        <w:tc>
          <w:tcPr>
            <w:tcW w:w="2122" w:type="dxa"/>
            <w:vAlign w:val="top"/>
          </w:tcPr>
          <w:p w14:paraId="6E5763E4">
            <w:pPr>
              <w:spacing w:before="54" w:line="198" w:lineRule="auto"/>
              <w:ind w:left="656"/>
              <w:rPr>
                <w:rFonts w:ascii="宋体" w:hAnsi="宋体" w:eastAsia="宋体" w:cs="宋体"/>
                <w:sz w:val="28"/>
                <w:szCs w:val="28"/>
              </w:rPr>
            </w:pPr>
            <w:r>
              <w:rPr>
                <w:rFonts w:ascii="宋体" w:hAnsi="宋体" w:eastAsia="宋体" w:cs="宋体"/>
                <w:spacing w:val="-6"/>
                <w:sz w:val="28"/>
                <w:szCs w:val="28"/>
              </w:rPr>
              <w:t>直接费</w:t>
            </w:r>
          </w:p>
        </w:tc>
        <w:tc>
          <w:tcPr>
            <w:tcW w:w="2021" w:type="dxa"/>
            <w:vAlign w:val="top"/>
          </w:tcPr>
          <w:p w14:paraId="3D00282A">
            <w:pPr>
              <w:pStyle w:val="8"/>
              <w:spacing w:before="104" w:line="187" w:lineRule="auto"/>
              <w:ind w:left="957"/>
            </w:pPr>
            <w:r>
              <w:t>6</w:t>
            </w:r>
          </w:p>
        </w:tc>
        <w:tc>
          <w:tcPr>
            <w:tcW w:w="1513" w:type="dxa"/>
            <w:tcBorders>
              <w:right w:val="single" w:color="000000" w:sz="8" w:space="0"/>
            </w:tcBorders>
            <w:vAlign w:val="top"/>
          </w:tcPr>
          <w:p w14:paraId="6E7636F6">
            <w:pPr>
              <w:rPr>
                <w:rFonts w:ascii="Arial"/>
                <w:sz w:val="21"/>
              </w:rPr>
            </w:pPr>
          </w:p>
        </w:tc>
      </w:tr>
      <w:tr w14:paraId="75A5A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822" w:type="dxa"/>
            <w:tcBorders>
              <w:left w:val="single" w:color="000000" w:sz="8" w:space="0"/>
            </w:tcBorders>
            <w:vAlign w:val="top"/>
          </w:tcPr>
          <w:p w14:paraId="50FF1823">
            <w:pPr>
              <w:pStyle w:val="8"/>
              <w:spacing w:before="103" w:line="187" w:lineRule="auto"/>
              <w:ind w:left="343"/>
            </w:pPr>
            <w:r>
              <w:t>9</w:t>
            </w:r>
          </w:p>
        </w:tc>
        <w:tc>
          <w:tcPr>
            <w:tcW w:w="2748" w:type="dxa"/>
            <w:vAlign w:val="top"/>
          </w:tcPr>
          <w:p w14:paraId="73FEC66B">
            <w:pPr>
              <w:spacing w:before="56" w:line="196" w:lineRule="auto"/>
              <w:ind w:left="1104"/>
              <w:rPr>
                <w:rFonts w:ascii="宋体" w:hAnsi="宋体" w:eastAsia="宋体" w:cs="宋体"/>
                <w:sz w:val="28"/>
                <w:szCs w:val="28"/>
              </w:rPr>
            </w:pPr>
            <w:r>
              <w:rPr>
                <w:rFonts w:ascii="宋体" w:hAnsi="宋体" w:eastAsia="宋体" w:cs="宋体"/>
                <w:spacing w:val="-6"/>
                <w:sz w:val="28"/>
                <w:szCs w:val="28"/>
              </w:rPr>
              <w:t>其他</w:t>
            </w:r>
          </w:p>
        </w:tc>
        <w:tc>
          <w:tcPr>
            <w:tcW w:w="2122" w:type="dxa"/>
            <w:vAlign w:val="top"/>
          </w:tcPr>
          <w:p w14:paraId="70ADF579">
            <w:pPr>
              <w:spacing w:before="56" w:line="196" w:lineRule="auto"/>
              <w:ind w:left="656"/>
              <w:rPr>
                <w:rFonts w:ascii="宋体" w:hAnsi="宋体" w:eastAsia="宋体" w:cs="宋体"/>
                <w:sz w:val="28"/>
                <w:szCs w:val="28"/>
              </w:rPr>
            </w:pPr>
            <w:r>
              <w:rPr>
                <w:rFonts w:ascii="宋体" w:hAnsi="宋体" w:eastAsia="宋体" w:cs="宋体"/>
                <w:spacing w:val="-6"/>
                <w:sz w:val="28"/>
                <w:szCs w:val="28"/>
              </w:rPr>
              <w:t>直接费</w:t>
            </w:r>
          </w:p>
        </w:tc>
        <w:tc>
          <w:tcPr>
            <w:tcW w:w="2021" w:type="dxa"/>
            <w:vAlign w:val="top"/>
          </w:tcPr>
          <w:p w14:paraId="7C257680">
            <w:pPr>
              <w:pStyle w:val="8"/>
              <w:spacing w:before="103" w:line="187" w:lineRule="auto"/>
              <w:ind w:left="959"/>
            </w:pPr>
            <w:r>
              <w:t>6</w:t>
            </w:r>
          </w:p>
        </w:tc>
        <w:tc>
          <w:tcPr>
            <w:tcW w:w="1513" w:type="dxa"/>
            <w:tcBorders>
              <w:right w:val="single" w:color="000000" w:sz="8" w:space="0"/>
            </w:tcBorders>
            <w:vAlign w:val="top"/>
          </w:tcPr>
          <w:p w14:paraId="0916713F">
            <w:pPr>
              <w:rPr>
                <w:rFonts w:ascii="Arial"/>
                <w:sz w:val="21"/>
              </w:rPr>
            </w:pPr>
          </w:p>
        </w:tc>
      </w:tr>
      <w:tr w14:paraId="1819E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22" w:type="dxa"/>
            <w:tcBorders>
              <w:left w:val="single" w:color="000000" w:sz="8" w:space="0"/>
              <w:bottom w:val="single" w:color="000000" w:sz="8" w:space="0"/>
            </w:tcBorders>
            <w:vAlign w:val="top"/>
          </w:tcPr>
          <w:p w14:paraId="018B5538">
            <w:pPr>
              <w:spacing w:before="120" w:line="179" w:lineRule="auto"/>
              <w:ind w:left="278"/>
              <w:rPr>
                <w:rFonts w:ascii="宋体" w:hAnsi="宋体" w:eastAsia="宋体" w:cs="宋体"/>
                <w:sz w:val="28"/>
                <w:szCs w:val="28"/>
              </w:rPr>
            </w:pPr>
            <w:r>
              <w:rPr>
                <w:rFonts w:ascii="宋体" w:hAnsi="宋体" w:eastAsia="宋体" w:cs="宋体"/>
                <w:sz w:val="28"/>
                <w:szCs w:val="28"/>
              </w:rPr>
              <w:t>二</w:t>
            </w:r>
          </w:p>
        </w:tc>
        <w:tc>
          <w:tcPr>
            <w:tcW w:w="2748" w:type="dxa"/>
            <w:tcBorders>
              <w:bottom w:val="single" w:color="000000" w:sz="8" w:space="0"/>
            </w:tcBorders>
            <w:vAlign w:val="top"/>
          </w:tcPr>
          <w:p w14:paraId="176A2AF2">
            <w:pPr>
              <w:spacing w:before="69" w:line="217" w:lineRule="auto"/>
              <w:ind w:left="550"/>
              <w:rPr>
                <w:rFonts w:ascii="宋体" w:hAnsi="宋体" w:eastAsia="宋体" w:cs="宋体"/>
                <w:sz w:val="28"/>
                <w:szCs w:val="28"/>
              </w:rPr>
            </w:pPr>
            <w:r>
              <w:rPr>
                <w:rFonts w:ascii="宋体" w:hAnsi="宋体" w:eastAsia="宋体" w:cs="宋体"/>
                <w:spacing w:val="-5"/>
                <w:sz w:val="28"/>
                <w:szCs w:val="28"/>
              </w:rPr>
              <w:t>设备安装工程</w:t>
            </w:r>
          </w:p>
        </w:tc>
        <w:tc>
          <w:tcPr>
            <w:tcW w:w="2122" w:type="dxa"/>
            <w:tcBorders>
              <w:bottom w:val="single" w:color="000000" w:sz="8" w:space="0"/>
            </w:tcBorders>
            <w:vAlign w:val="top"/>
          </w:tcPr>
          <w:p w14:paraId="2FCAFB9F">
            <w:pPr>
              <w:spacing w:before="69" w:line="217" w:lineRule="auto"/>
              <w:ind w:left="656"/>
              <w:rPr>
                <w:rFonts w:ascii="宋体" w:hAnsi="宋体" w:eastAsia="宋体" w:cs="宋体"/>
                <w:sz w:val="28"/>
                <w:szCs w:val="28"/>
              </w:rPr>
            </w:pPr>
            <w:r>
              <w:rPr>
                <w:rFonts w:ascii="宋体" w:hAnsi="宋体" w:eastAsia="宋体" w:cs="宋体"/>
                <w:spacing w:val="-6"/>
                <w:sz w:val="28"/>
                <w:szCs w:val="28"/>
              </w:rPr>
              <w:t>人工费</w:t>
            </w:r>
          </w:p>
        </w:tc>
        <w:tc>
          <w:tcPr>
            <w:tcW w:w="2021" w:type="dxa"/>
            <w:tcBorders>
              <w:bottom w:val="single" w:color="000000" w:sz="8" w:space="0"/>
            </w:tcBorders>
            <w:vAlign w:val="top"/>
          </w:tcPr>
          <w:p w14:paraId="10506924">
            <w:pPr>
              <w:pStyle w:val="8"/>
              <w:spacing w:before="117" w:line="189" w:lineRule="auto"/>
              <w:ind w:left="890"/>
            </w:pPr>
            <w:r>
              <w:rPr>
                <w:spacing w:val="-6"/>
              </w:rPr>
              <w:t>60</w:t>
            </w:r>
          </w:p>
        </w:tc>
        <w:tc>
          <w:tcPr>
            <w:tcW w:w="1513" w:type="dxa"/>
            <w:tcBorders>
              <w:bottom w:val="single" w:color="000000" w:sz="8" w:space="0"/>
              <w:right w:val="single" w:color="000000" w:sz="8" w:space="0"/>
            </w:tcBorders>
            <w:vAlign w:val="top"/>
          </w:tcPr>
          <w:p w14:paraId="1B397236">
            <w:pPr>
              <w:rPr>
                <w:rFonts w:ascii="Arial"/>
                <w:sz w:val="21"/>
              </w:rPr>
            </w:pPr>
          </w:p>
        </w:tc>
      </w:tr>
    </w:tbl>
    <w:p w14:paraId="39148B11">
      <w:pPr>
        <w:pStyle w:val="2"/>
        <w:spacing w:before="43" w:line="221" w:lineRule="auto"/>
        <w:ind w:left="609"/>
        <w:outlineLvl w:val="0"/>
      </w:pPr>
      <w:r>
        <w:rPr>
          <w:rFonts w:ascii="Times New Roman" w:hAnsi="Times New Roman" w:eastAsia="Times New Roman" w:cs="Times New Roman"/>
          <w:b/>
          <w:bCs/>
          <w:spacing w:val="-6"/>
        </w:rPr>
        <w:t>1.4.3</w:t>
      </w:r>
      <w:r>
        <w:rPr>
          <w:b/>
          <w:bCs/>
          <w:spacing w:val="-6"/>
        </w:rPr>
        <w:t>利润</w:t>
      </w:r>
    </w:p>
    <w:p w14:paraId="768CB7B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pPr>
      <w:r>
        <w:rPr>
          <w:spacing w:val="-3"/>
        </w:rPr>
        <w:t>该工程是水利其他工程，利润率取</w:t>
      </w:r>
      <w:r>
        <w:rPr>
          <w:rFonts w:ascii="Times New Roman" w:hAnsi="Times New Roman" w:eastAsia="Times New Roman" w:cs="Times New Roman"/>
          <w:spacing w:val="-3"/>
        </w:rPr>
        <w:t>5%</w:t>
      </w:r>
      <w:r>
        <w:rPr>
          <w:spacing w:val="-3"/>
        </w:rPr>
        <w:t>。</w:t>
      </w:r>
    </w:p>
    <w:p w14:paraId="3A9E65E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1.4.4</w:t>
      </w:r>
      <w:r>
        <w:rPr>
          <w:b/>
          <w:bCs/>
          <w:spacing w:val="-6"/>
        </w:rPr>
        <w:t>价差</w:t>
      </w:r>
    </w:p>
    <w:p w14:paraId="4B8452F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价差</w:t>
      </w:r>
      <w:r>
        <w:rPr>
          <w:rFonts w:ascii="Times New Roman" w:hAnsi="Times New Roman" w:eastAsia="Times New Roman" w:cs="Times New Roman"/>
          <w:spacing w:val="-2"/>
        </w:rPr>
        <w:t>=</w:t>
      </w:r>
      <w:r>
        <w:rPr>
          <w:spacing w:val="-2"/>
        </w:rPr>
        <w:t>定额用量</w:t>
      </w:r>
      <w:r>
        <w:rPr>
          <w:rFonts w:ascii="Times New Roman" w:hAnsi="Times New Roman" w:eastAsia="Times New Roman" w:cs="Times New Roman"/>
          <w:spacing w:val="-2"/>
        </w:rPr>
        <w:t>×</w:t>
      </w:r>
      <w:r>
        <w:rPr>
          <w:spacing w:val="-2"/>
        </w:rPr>
        <w:t>（人工、材料预算价格</w:t>
      </w:r>
      <w:r>
        <w:rPr>
          <w:rFonts w:ascii="Times New Roman" w:hAnsi="Times New Roman" w:eastAsia="Times New Roman" w:cs="Times New Roman"/>
          <w:spacing w:val="-2"/>
        </w:rPr>
        <w:t>-</w:t>
      </w:r>
      <w:r>
        <w:rPr>
          <w:spacing w:val="-2"/>
        </w:rPr>
        <w:t>规定价格）主要材料规定</w:t>
      </w:r>
      <w:r>
        <w:rPr>
          <w:spacing w:val="-3"/>
        </w:rPr>
        <w:t>价格按下表进行计算：</w:t>
      </w:r>
    </w:p>
    <w:p w14:paraId="3A393AF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0" w:firstLineChars="200"/>
        <w:textAlignment w:val="baseline"/>
      </w:pPr>
      <w:r>
        <w:rPr>
          <w:b/>
          <w:bCs/>
          <w:spacing w:val="7"/>
        </w:rPr>
        <w:t>主要材料规定价格表</w:t>
      </w:r>
    </w:p>
    <w:p w14:paraId="7CCC24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pPr>
    </w:p>
    <w:p w14:paraId="172A17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pPr>
    </w:p>
    <w:tbl>
      <w:tblPr>
        <w:tblStyle w:val="7"/>
        <w:tblW w:w="912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8"/>
        <w:gridCol w:w="3805"/>
        <w:gridCol w:w="958"/>
        <w:gridCol w:w="3367"/>
      </w:tblGrid>
      <w:tr w14:paraId="17D8E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998" w:type="dxa"/>
            <w:tcBorders>
              <w:top w:val="single" w:color="000000" w:sz="6" w:space="0"/>
              <w:left w:val="single" w:color="000000" w:sz="6" w:space="0"/>
            </w:tcBorders>
            <w:vAlign w:val="center"/>
          </w:tcPr>
          <w:p w14:paraId="7E2750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bookmarkStart w:id="0" w:name="_GoBack"/>
            <w:r>
              <w:rPr>
                <w:rFonts w:ascii="宋体" w:hAnsi="宋体" w:eastAsia="宋体" w:cs="宋体"/>
                <w:spacing w:val="-5"/>
                <w:sz w:val="28"/>
                <w:szCs w:val="28"/>
              </w:rPr>
              <w:t>序号</w:t>
            </w:r>
          </w:p>
        </w:tc>
        <w:tc>
          <w:tcPr>
            <w:tcW w:w="3805" w:type="dxa"/>
            <w:tcBorders>
              <w:top w:val="single" w:color="000000" w:sz="6" w:space="0"/>
            </w:tcBorders>
            <w:vAlign w:val="center"/>
          </w:tcPr>
          <w:p w14:paraId="739720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4"/>
                <w:sz w:val="28"/>
                <w:szCs w:val="28"/>
              </w:rPr>
              <w:t>材料名称</w:t>
            </w:r>
          </w:p>
        </w:tc>
        <w:tc>
          <w:tcPr>
            <w:tcW w:w="958" w:type="dxa"/>
            <w:tcBorders>
              <w:top w:val="single" w:color="000000" w:sz="6" w:space="0"/>
            </w:tcBorders>
            <w:vAlign w:val="center"/>
          </w:tcPr>
          <w:p w14:paraId="18B6EA7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7"/>
                <w:sz w:val="28"/>
                <w:szCs w:val="28"/>
              </w:rPr>
              <w:t>单位</w:t>
            </w:r>
          </w:p>
        </w:tc>
        <w:tc>
          <w:tcPr>
            <w:tcW w:w="3367" w:type="dxa"/>
            <w:tcBorders>
              <w:top w:val="single" w:color="000000" w:sz="6" w:space="0"/>
              <w:right w:val="single" w:color="000000" w:sz="6" w:space="0"/>
            </w:tcBorders>
            <w:vAlign w:val="center"/>
          </w:tcPr>
          <w:p w14:paraId="13FDEF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4"/>
                <w:sz w:val="28"/>
                <w:szCs w:val="28"/>
              </w:rPr>
              <w:t>规定价格（元）</w:t>
            </w:r>
          </w:p>
        </w:tc>
      </w:tr>
      <w:tr w14:paraId="550FC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998" w:type="dxa"/>
            <w:tcBorders>
              <w:left w:val="single" w:color="000000" w:sz="6" w:space="0"/>
            </w:tcBorders>
            <w:vAlign w:val="center"/>
          </w:tcPr>
          <w:p w14:paraId="1E37FE1D">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1</w:t>
            </w:r>
          </w:p>
        </w:tc>
        <w:tc>
          <w:tcPr>
            <w:tcW w:w="3805" w:type="dxa"/>
            <w:vAlign w:val="center"/>
          </w:tcPr>
          <w:p w14:paraId="7555E0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7"/>
                <w:sz w:val="28"/>
                <w:szCs w:val="28"/>
              </w:rPr>
              <w:t>水泥</w:t>
            </w:r>
          </w:p>
        </w:tc>
        <w:tc>
          <w:tcPr>
            <w:tcW w:w="958" w:type="dxa"/>
            <w:vAlign w:val="center"/>
          </w:tcPr>
          <w:p w14:paraId="44B5CB3C">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t</w:t>
            </w:r>
          </w:p>
        </w:tc>
        <w:tc>
          <w:tcPr>
            <w:tcW w:w="3367" w:type="dxa"/>
            <w:tcBorders>
              <w:right w:val="single" w:color="000000" w:sz="6" w:space="0"/>
            </w:tcBorders>
            <w:vAlign w:val="center"/>
          </w:tcPr>
          <w:p w14:paraId="719BBF41">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3"/>
              </w:rPr>
              <w:t>260</w:t>
            </w:r>
          </w:p>
        </w:tc>
      </w:tr>
      <w:tr w14:paraId="6D77A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998" w:type="dxa"/>
            <w:tcBorders>
              <w:left w:val="single" w:color="000000" w:sz="6" w:space="0"/>
            </w:tcBorders>
            <w:vAlign w:val="center"/>
          </w:tcPr>
          <w:p w14:paraId="1E73F7F2">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2</w:t>
            </w:r>
          </w:p>
        </w:tc>
        <w:tc>
          <w:tcPr>
            <w:tcW w:w="3805" w:type="dxa"/>
            <w:vAlign w:val="center"/>
          </w:tcPr>
          <w:p w14:paraId="766D08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4"/>
                <w:sz w:val="28"/>
                <w:szCs w:val="28"/>
              </w:rPr>
              <w:t>钢筋</w:t>
            </w:r>
          </w:p>
        </w:tc>
        <w:tc>
          <w:tcPr>
            <w:tcW w:w="958" w:type="dxa"/>
            <w:vAlign w:val="center"/>
          </w:tcPr>
          <w:p w14:paraId="342960A2">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t</w:t>
            </w:r>
          </w:p>
        </w:tc>
        <w:tc>
          <w:tcPr>
            <w:tcW w:w="3367" w:type="dxa"/>
            <w:tcBorders>
              <w:right w:val="single" w:color="000000" w:sz="6" w:space="0"/>
            </w:tcBorders>
            <w:vAlign w:val="center"/>
          </w:tcPr>
          <w:p w14:paraId="5E3F39EB">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2"/>
              </w:rPr>
              <w:t>2600</w:t>
            </w:r>
          </w:p>
        </w:tc>
      </w:tr>
      <w:tr w14:paraId="26DEB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998" w:type="dxa"/>
            <w:tcBorders>
              <w:left w:val="single" w:color="000000" w:sz="6" w:space="0"/>
            </w:tcBorders>
            <w:vAlign w:val="center"/>
          </w:tcPr>
          <w:p w14:paraId="61CF860E">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3</w:t>
            </w:r>
          </w:p>
        </w:tc>
        <w:tc>
          <w:tcPr>
            <w:tcW w:w="3805" w:type="dxa"/>
            <w:vAlign w:val="center"/>
          </w:tcPr>
          <w:p w14:paraId="1883C3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4"/>
                <w:sz w:val="28"/>
                <w:szCs w:val="28"/>
              </w:rPr>
              <w:t>钢板</w:t>
            </w:r>
          </w:p>
        </w:tc>
        <w:tc>
          <w:tcPr>
            <w:tcW w:w="958" w:type="dxa"/>
            <w:vAlign w:val="center"/>
          </w:tcPr>
          <w:p w14:paraId="23011205">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t</w:t>
            </w:r>
          </w:p>
        </w:tc>
        <w:tc>
          <w:tcPr>
            <w:tcW w:w="3367" w:type="dxa"/>
            <w:tcBorders>
              <w:right w:val="single" w:color="000000" w:sz="6" w:space="0"/>
            </w:tcBorders>
            <w:vAlign w:val="center"/>
          </w:tcPr>
          <w:p w14:paraId="15326F65">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2"/>
              </w:rPr>
              <w:t>2800</w:t>
            </w:r>
          </w:p>
        </w:tc>
      </w:tr>
      <w:tr w14:paraId="4B20F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998" w:type="dxa"/>
            <w:tcBorders>
              <w:left w:val="single" w:color="000000" w:sz="6" w:space="0"/>
            </w:tcBorders>
            <w:vAlign w:val="center"/>
          </w:tcPr>
          <w:p w14:paraId="4B840AA9">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4</w:t>
            </w:r>
          </w:p>
        </w:tc>
        <w:tc>
          <w:tcPr>
            <w:tcW w:w="3805" w:type="dxa"/>
            <w:vAlign w:val="center"/>
          </w:tcPr>
          <w:p w14:paraId="40039A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6"/>
                <w:sz w:val="28"/>
                <w:szCs w:val="28"/>
              </w:rPr>
              <w:t>板枋材</w:t>
            </w:r>
          </w:p>
        </w:tc>
        <w:tc>
          <w:tcPr>
            <w:tcW w:w="958" w:type="dxa"/>
            <w:vAlign w:val="center"/>
          </w:tcPr>
          <w:p w14:paraId="089D82DD">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m3</w:t>
            </w:r>
          </w:p>
        </w:tc>
        <w:tc>
          <w:tcPr>
            <w:tcW w:w="3367" w:type="dxa"/>
            <w:tcBorders>
              <w:right w:val="single" w:color="000000" w:sz="6" w:space="0"/>
            </w:tcBorders>
            <w:vAlign w:val="center"/>
          </w:tcPr>
          <w:p w14:paraId="6B2C3B0F">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2"/>
              </w:rPr>
              <w:t>1500</w:t>
            </w:r>
          </w:p>
        </w:tc>
      </w:tr>
      <w:tr w14:paraId="6559A2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998" w:type="dxa"/>
            <w:tcBorders>
              <w:left w:val="single" w:color="000000" w:sz="6" w:space="0"/>
            </w:tcBorders>
            <w:vAlign w:val="center"/>
          </w:tcPr>
          <w:p w14:paraId="13D2D088">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5</w:t>
            </w:r>
          </w:p>
        </w:tc>
        <w:tc>
          <w:tcPr>
            <w:tcW w:w="3805" w:type="dxa"/>
            <w:vAlign w:val="center"/>
          </w:tcPr>
          <w:p w14:paraId="7E83AE8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9"/>
                <w:sz w:val="28"/>
                <w:szCs w:val="28"/>
              </w:rPr>
              <w:t>原木</w:t>
            </w:r>
          </w:p>
        </w:tc>
        <w:tc>
          <w:tcPr>
            <w:tcW w:w="958" w:type="dxa"/>
            <w:vAlign w:val="center"/>
          </w:tcPr>
          <w:p w14:paraId="76B8A2F6">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m3</w:t>
            </w:r>
          </w:p>
        </w:tc>
        <w:tc>
          <w:tcPr>
            <w:tcW w:w="3367" w:type="dxa"/>
            <w:tcBorders>
              <w:right w:val="single" w:color="000000" w:sz="6" w:space="0"/>
            </w:tcBorders>
            <w:vAlign w:val="center"/>
          </w:tcPr>
          <w:p w14:paraId="4EB576F0">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2"/>
              </w:rPr>
              <w:t>1200</w:t>
            </w:r>
          </w:p>
        </w:tc>
      </w:tr>
      <w:tr w14:paraId="2D26CC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998" w:type="dxa"/>
            <w:tcBorders>
              <w:left w:val="single" w:color="000000" w:sz="6" w:space="0"/>
            </w:tcBorders>
            <w:vAlign w:val="center"/>
          </w:tcPr>
          <w:p w14:paraId="3CE79BBF">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6</w:t>
            </w:r>
          </w:p>
        </w:tc>
        <w:tc>
          <w:tcPr>
            <w:tcW w:w="3805" w:type="dxa"/>
            <w:vAlign w:val="center"/>
          </w:tcPr>
          <w:p w14:paraId="20A2DC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7"/>
                <w:sz w:val="28"/>
                <w:szCs w:val="28"/>
              </w:rPr>
              <w:t>炸药</w:t>
            </w:r>
          </w:p>
        </w:tc>
        <w:tc>
          <w:tcPr>
            <w:tcW w:w="958" w:type="dxa"/>
            <w:vAlign w:val="center"/>
          </w:tcPr>
          <w:p w14:paraId="6EC67F59">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kg</w:t>
            </w:r>
          </w:p>
        </w:tc>
        <w:tc>
          <w:tcPr>
            <w:tcW w:w="3367" w:type="dxa"/>
            <w:tcBorders>
              <w:right w:val="single" w:color="000000" w:sz="6" w:space="0"/>
            </w:tcBorders>
            <w:vAlign w:val="center"/>
          </w:tcPr>
          <w:p w14:paraId="13C2CCC6">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6</w:t>
            </w:r>
          </w:p>
        </w:tc>
      </w:tr>
      <w:tr w14:paraId="0EC9F0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998" w:type="dxa"/>
            <w:tcBorders>
              <w:left w:val="single" w:color="000000" w:sz="6" w:space="0"/>
            </w:tcBorders>
            <w:vAlign w:val="center"/>
          </w:tcPr>
          <w:p w14:paraId="26CC4106">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7</w:t>
            </w:r>
          </w:p>
        </w:tc>
        <w:tc>
          <w:tcPr>
            <w:tcW w:w="3805" w:type="dxa"/>
            <w:vAlign w:val="center"/>
          </w:tcPr>
          <w:p w14:paraId="1B4D09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5"/>
                <w:sz w:val="28"/>
                <w:szCs w:val="28"/>
              </w:rPr>
              <w:t>柴油</w:t>
            </w:r>
          </w:p>
        </w:tc>
        <w:tc>
          <w:tcPr>
            <w:tcW w:w="958" w:type="dxa"/>
            <w:vAlign w:val="center"/>
          </w:tcPr>
          <w:p w14:paraId="5C26C8C2">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kg</w:t>
            </w:r>
          </w:p>
        </w:tc>
        <w:tc>
          <w:tcPr>
            <w:tcW w:w="3367" w:type="dxa"/>
            <w:tcBorders>
              <w:right w:val="single" w:color="000000" w:sz="6" w:space="0"/>
            </w:tcBorders>
            <w:vAlign w:val="center"/>
          </w:tcPr>
          <w:p w14:paraId="5D499E19">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3</w:t>
            </w:r>
          </w:p>
        </w:tc>
      </w:tr>
      <w:tr w14:paraId="48DDF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998" w:type="dxa"/>
            <w:tcBorders>
              <w:left w:val="single" w:color="000000" w:sz="6" w:space="0"/>
            </w:tcBorders>
            <w:vAlign w:val="center"/>
          </w:tcPr>
          <w:p w14:paraId="34A7EC45">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8</w:t>
            </w:r>
          </w:p>
        </w:tc>
        <w:tc>
          <w:tcPr>
            <w:tcW w:w="3805" w:type="dxa"/>
            <w:vAlign w:val="center"/>
          </w:tcPr>
          <w:p w14:paraId="58E045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5"/>
                <w:sz w:val="28"/>
                <w:szCs w:val="28"/>
              </w:rPr>
              <w:t>汽油</w:t>
            </w:r>
          </w:p>
        </w:tc>
        <w:tc>
          <w:tcPr>
            <w:tcW w:w="958" w:type="dxa"/>
            <w:vAlign w:val="center"/>
          </w:tcPr>
          <w:p w14:paraId="7CB3FE27">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kg</w:t>
            </w:r>
          </w:p>
        </w:tc>
        <w:tc>
          <w:tcPr>
            <w:tcW w:w="3367" w:type="dxa"/>
            <w:tcBorders>
              <w:right w:val="single" w:color="000000" w:sz="6" w:space="0"/>
            </w:tcBorders>
            <w:vAlign w:val="center"/>
          </w:tcPr>
          <w:p w14:paraId="3FAD7F0C">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5"/>
              </w:rPr>
              <w:t>3.5</w:t>
            </w:r>
          </w:p>
        </w:tc>
      </w:tr>
      <w:tr w14:paraId="11CC13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998" w:type="dxa"/>
            <w:tcBorders>
              <w:left w:val="single" w:color="000000" w:sz="6" w:space="0"/>
            </w:tcBorders>
            <w:vAlign w:val="center"/>
          </w:tcPr>
          <w:p w14:paraId="0E5EB880">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t>9</w:t>
            </w:r>
          </w:p>
        </w:tc>
        <w:tc>
          <w:tcPr>
            <w:tcW w:w="3805" w:type="dxa"/>
            <w:vAlign w:val="center"/>
          </w:tcPr>
          <w:p w14:paraId="275042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5"/>
                <w:sz w:val="28"/>
                <w:szCs w:val="28"/>
              </w:rPr>
              <w:t>砂子</w:t>
            </w:r>
          </w:p>
        </w:tc>
        <w:tc>
          <w:tcPr>
            <w:tcW w:w="958" w:type="dxa"/>
            <w:vAlign w:val="center"/>
          </w:tcPr>
          <w:p w14:paraId="2B83E681">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m3</w:t>
            </w:r>
          </w:p>
        </w:tc>
        <w:tc>
          <w:tcPr>
            <w:tcW w:w="3367" w:type="dxa"/>
            <w:tcBorders>
              <w:right w:val="single" w:color="000000" w:sz="6" w:space="0"/>
            </w:tcBorders>
            <w:vAlign w:val="center"/>
          </w:tcPr>
          <w:p w14:paraId="0BB6D8F2">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7"/>
              </w:rPr>
              <w:t>50</w:t>
            </w:r>
          </w:p>
        </w:tc>
      </w:tr>
      <w:tr w14:paraId="2AD6D0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998" w:type="dxa"/>
            <w:tcBorders>
              <w:left w:val="single" w:color="000000" w:sz="6" w:space="0"/>
            </w:tcBorders>
            <w:vAlign w:val="center"/>
          </w:tcPr>
          <w:p w14:paraId="18AA6BF5">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7"/>
              </w:rPr>
              <w:t>10</w:t>
            </w:r>
          </w:p>
        </w:tc>
        <w:tc>
          <w:tcPr>
            <w:tcW w:w="3805" w:type="dxa"/>
            <w:vAlign w:val="center"/>
          </w:tcPr>
          <w:p w14:paraId="720E0E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3"/>
                <w:sz w:val="28"/>
                <w:szCs w:val="28"/>
              </w:rPr>
              <w:t>碎石、砾石、卵石</w:t>
            </w:r>
          </w:p>
        </w:tc>
        <w:tc>
          <w:tcPr>
            <w:tcW w:w="958" w:type="dxa"/>
            <w:vAlign w:val="center"/>
          </w:tcPr>
          <w:p w14:paraId="2B065E48">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m3</w:t>
            </w:r>
          </w:p>
        </w:tc>
        <w:tc>
          <w:tcPr>
            <w:tcW w:w="3367" w:type="dxa"/>
            <w:tcBorders>
              <w:right w:val="single" w:color="000000" w:sz="6" w:space="0"/>
            </w:tcBorders>
            <w:vAlign w:val="center"/>
          </w:tcPr>
          <w:p w14:paraId="054D5A1C">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5"/>
              </w:rPr>
              <w:t>70</w:t>
            </w:r>
          </w:p>
        </w:tc>
      </w:tr>
      <w:tr w14:paraId="710E89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998" w:type="dxa"/>
            <w:tcBorders>
              <w:left w:val="single" w:color="000000" w:sz="6" w:space="0"/>
            </w:tcBorders>
            <w:vAlign w:val="center"/>
          </w:tcPr>
          <w:p w14:paraId="53568254">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7"/>
              </w:rPr>
              <w:t>11</w:t>
            </w:r>
          </w:p>
        </w:tc>
        <w:tc>
          <w:tcPr>
            <w:tcW w:w="3805" w:type="dxa"/>
            <w:vAlign w:val="center"/>
          </w:tcPr>
          <w:p w14:paraId="485E33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z w:val="28"/>
                <w:szCs w:val="28"/>
              </w:rPr>
              <w:t>块（片）石</w:t>
            </w:r>
          </w:p>
        </w:tc>
        <w:tc>
          <w:tcPr>
            <w:tcW w:w="958" w:type="dxa"/>
            <w:vAlign w:val="center"/>
          </w:tcPr>
          <w:p w14:paraId="2F6FB3D2">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m3</w:t>
            </w:r>
          </w:p>
        </w:tc>
        <w:tc>
          <w:tcPr>
            <w:tcW w:w="3367" w:type="dxa"/>
            <w:tcBorders>
              <w:right w:val="single" w:color="000000" w:sz="6" w:space="0"/>
            </w:tcBorders>
            <w:vAlign w:val="center"/>
          </w:tcPr>
          <w:p w14:paraId="15B0F073">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7"/>
              </w:rPr>
              <w:t>50</w:t>
            </w:r>
          </w:p>
        </w:tc>
      </w:tr>
      <w:tr w14:paraId="5D5012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998" w:type="dxa"/>
            <w:tcBorders>
              <w:left w:val="single" w:color="000000" w:sz="6" w:space="0"/>
            </w:tcBorders>
            <w:vAlign w:val="center"/>
          </w:tcPr>
          <w:p w14:paraId="46552B91">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7"/>
              </w:rPr>
              <w:t>12</w:t>
            </w:r>
          </w:p>
        </w:tc>
        <w:tc>
          <w:tcPr>
            <w:tcW w:w="3805" w:type="dxa"/>
            <w:vAlign w:val="center"/>
          </w:tcPr>
          <w:p w14:paraId="2238B4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5"/>
                <w:sz w:val="28"/>
                <w:szCs w:val="28"/>
              </w:rPr>
              <w:t>料石</w:t>
            </w:r>
          </w:p>
        </w:tc>
        <w:tc>
          <w:tcPr>
            <w:tcW w:w="958" w:type="dxa"/>
            <w:vAlign w:val="center"/>
          </w:tcPr>
          <w:p w14:paraId="6E17FD9D">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m3</w:t>
            </w:r>
          </w:p>
        </w:tc>
        <w:tc>
          <w:tcPr>
            <w:tcW w:w="3367" w:type="dxa"/>
            <w:tcBorders>
              <w:right w:val="single" w:color="000000" w:sz="6" w:space="0"/>
            </w:tcBorders>
            <w:vAlign w:val="center"/>
          </w:tcPr>
          <w:p w14:paraId="6E0E8F28">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9"/>
              </w:rPr>
              <w:t>80</w:t>
            </w:r>
          </w:p>
        </w:tc>
      </w:tr>
      <w:tr w14:paraId="62BB6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998" w:type="dxa"/>
            <w:tcBorders>
              <w:left w:val="single" w:color="000000" w:sz="6" w:space="0"/>
              <w:bottom w:val="single" w:color="000000" w:sz="6" w:space="0"/>
            </w:tcBorders>
            <w:vAlign w:val="center"/>
          </w:tcPr>
          <w:p w14:paraId="14F2F43F">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7"/>
              </w:rPr>
              <w:t>13</w:t>
            </w:r>
          </w:p>
        </w:tc>
        <w:tc>
          <w:tcPr>
            <w:tcW w:w="3805" w:type="dxa"/>
            <w:tcBorders>
              <w:bottom w:val="single" w:color="000000" w:sz="6" w:space="0"/>
            </w:tcBorders>
            <w:vAlign w:val="center"/>
          </w:tcPr>
          <w:p w14:paraId="67C518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ascii="宋体" w:hAnsi="宋体" w:eastAsia="宋体" w:cs="宋体"/>
                <w:sz w:val="28"/>
                <w:szCs w:val="28"/>
              </w:rPr>
            </w:pPr>
            <w:r>
              <w:rPr>
                <w:rFonts w:ascii="宋体" w:hAnsi="宋体" w:eastAsia="宋体" w:cs="宋体"/>
                <w:spacing w:val="-6"/>
                <w:sz w:val="28"/>
                <w:szCs w:val="28"/>
              </w:rPr>
              <w:t>商品混凝土</w:t>
            </w:r>
          </w:p>
        </w:tc>
        <w:tc>
          <w:tcPr>
            <w:tcW w:w="958" w:type="dxa"/>
            <w:tcBorders>
              <w:bottom w:val="single" w:color="000000" w:sz="6" w:space="0"/>
            </w:tcBorders>
            <w:vAlign w:val="center"/>
          </w:tcPr>
          <w:p w14:paraId="05FB6D05">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1"/>
              </w:rPr>
              <w:t>m3</w:t>
            </w:r>
          </w:p>
        </w:tc>
        <w:tc>
          <w:tcPr>
            <w:tcW w:w="3367" w:type="dxa"/>
            <w:tcBorders>
              <w:bottom w:val="single" w:color="000000" w:sz="6" w:space="0"/>
              <w:right w:val="single" w:color="000000" w:sz="6" w:space="0"/>
            </w:tcBorders>
            <w:vAlign w:val="center"/>
          </w:tcPr>
          <w:p w14:paraId="75C22B99">
            <w:pPr>
              <w:pStyle w:val="8"/>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pPr>
            <w:r>
              <w:rPr>
                <w:spacing w:val="-3"/>
              </w:rPr>
              <w:t>200</w:t>
            </w:r>
          </w:p>
        </w:tc>
      </w:tr>
      <w:bookmarkEnd w:id="0"/>
    </w:tbl>
    <w:p w14:paraId="6FEDE94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1.4.5</w:t>
      </w:r>
      <w:r>
        <w:rPr>
          <w:b/>
          <w:bCs/>
          <w:spacing w:val="-6"/>
        </w:rPr>
        <w:t>税金</w:t>
      </w:r>
    </w:p>
    <w:p w14:paraId="7C7F5E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0" w:firstLineChars="200"/>
        <w:jc w:val="both"/>
        <w:textAlignment w:val="baseline"/>
      </w:pPr>
      <w:r>
        <w:rPr>
          <w:spacing w:val="5"/>
        </w:rPr>
        <w:t>根据办财务函〔</w:t>
      </w:r>
      <w:r>
        <w:rPr>
          <w:rFonts w:ascii="Times New Roman" w:hAnsi="Times New Roman" w:eastAsia="Times New Roman" w:cs="Times New Roman"/>
          <w:spacing w:val="5"/>
        </w:rPr>
        <w:t>2019</w:t>
      </w:r>
      <w:r>
        <w:rPr>
          <w:spacing w:val="5"/>
        </w:rPr>
        <w:t>〕</w:t>
      </w:r>
      <w:r>
        <w:rPr>
          <w:rFonts w:ascii="Times New Roman" w:hAnsi="Times New Roman" w:eastAsia="Times New Roman" w:cs="Times New Roman"/>
          <w:spacing w:val="5"/>
        </w:rPr>
        <w:t>448</w:t>
      </w:r>
      <w:r>
        <w:rPr>
          <w:spacing w:val="5"/>
        </w:rPr>
        <w:t>号和</w:t>
      </w:r>
      <w:r>
        <w:rPr>
          <w:rFonts w:ascii="Times New Roman" w:hAnsi="Times New Roman" w:eastAsia="Times New Roman" w:cs="Times New Roman"/>
          <w:spacing w:val="5"/>
        </w:rPr>
        <w:t>“2019</w:t>
      </w:r>
      <w:r>
        <w:rPr>
          <w:spacing w:val="5"/>
        </w:rPr>
        <w:t>计算办法及编制规定</w:t>
      </w:r>
      <w:r>
        <w:rPr>
          <w:rFonts w:ascii="Times New Roman" w:hAnsi="Times New Roman" w:eastAsia="Times New Roman" w:cs="Times New Roman"/>
          <w:spacing w:val="5"/>
        </w:rPr>
        <w:t>”</w:t>
      </w:r>
      <w:r>
        <w:rPr>
          <w:rFonts w:ascii="Times New Roman" w:hAnsi="Times New Roman" w:eastAsia="Times New Roman" w:cs="Times New Roman"/>
          <w:spacing w:val="-47"/>
        </w:rPr>
        <w:t xml:space="preserve"> </w:t>
      </w:r>
      <w:r>
        <w:rPr>
          <w:spacing w:val="5"/>
        </w:rPr>
        <w:t>税金</w:t>
      </w:r>
      <w:r>
        <w:rPr>
          <w:rFonts w:ascii="Times New Roman" w:hAnsi="Times New Roman" w:eastAsia="Times New Roman" w:cs="Times New Roman"/>
          <w:spacing w:val="5"/>
        </w:rPr>
        <w:t>=</w:t>
      </w:r>
      <w:r>
        <w:rPr>
          <w:spacing w:val="5"/>
        </w:rPr>
        <w:t>（直</w:t>
      </w:r>
      <w:r>
        <w:rPr>
          <w:spacing w:val="2"/>
        </w:rPr>
        <w:t>接费</w:t>
      </w:r>
      <w:r>
        <w:rPr>
          <w:rFonts w:ascii="Times New Roman" w:hAnsi="Times New Roman" w:eastAsia="Times New Roman" w:cs="Times New Roman"/>
          <w:spacing w:val="2"/>
        </w:rPr>
        <w:t>+</w:t>
      </w:r>
      <w:r>
        <w:rPr>
          <w:rFonts w:ascii="Times New Roman" w:hAnsi="Times New Roman" w:eastAsia="Times New Roman" w:cs="Times New Roman"/>
          <w:spacing w:val="-35"/>
        </w:rPr>
        <w:t xml:space="preserve"> </w:t>
      </w:r>
      <w:r>
        <w:rPr>
          <w:spacing w:val="2"/>
        </w:rPr>
        <w:t>间接费</w:t>
      </w:r>
      <w:r>
        <w:rPr>
          <w:rFonts w:ascii="Times New Roman" w:hAnsi="Times New Roman" w:eastAsia="Times New Roman" w:cs="Times New Roman"/>
          <w:spacing w:val="2"/>
        </w:rPr>
        <w:t>+</w:t>
      </w:r>
      <w:r>
        <w:rPr>
          <w:spacing w:val="2"/>
        </w:rPr>
        <w:t>利润</w:t>
      </w:r>
      <w:r>
        <w:rPr>
          <w:rFonts w:ascii="Times New Roman" w:hAnsi="Times New Roman" w:eastAsia="Times New Roman" w:cs="Times New Roman"/>
          <w:spacing w:val="2"/>
        </w:rPr>
        <w:t>+</w:t>
      </w:r>
      <w:r>
        <w:rPr>
          <w:spacing w:val="2"/>
        </w:rPr>
        <w:t>价差）</w:t>
      </w:r>
      <w:r>
        <w:rPr>
          <w:spacing w:val="-109"/>
        </w:rPr>
        <w:t xml:space="preserve"> </w:t>
      </w:r>
      <w:r>
        <w:rPr>
          <w:rFonts w:ascii="Times New Roman" w:hAnsi="Times New Roman" w:eastAsia="Times New Roman" w:cs="Times New Roman"/>
          <w:spacing w:val="2"/>
        </w:rPr>
        <w:t>×</w:t>
      </w:r>
      <w:r>
        <w:rPr>
          <w:spacing w:val="2"/>
        </w:rPr>
        <w:t>建筑业增值税销项税</w:t>
      </w:r>
      <w:r>
        <w:rPr>
          <w:spacing w:val="1"/>
        </w:rPr>
        <w:t>率，建筑业增值税销项税</w:t>
      </w:r>
      <w:r>
        <w:rPr>
          <w:spacing w:val="-4"/>
        </w:rPr>
        <w:t>率为</w:t>
      </w:r>
      <w:r>
        <w:rPr>
          <w:rFonts w:ascii="Times New Roman" w:hAnsi="Times New Roman" w:eastAsia="Times New Roman" w:cs="Times New Roman"/>
          <w:spacing w:val="-4"/>
        </w:rPr>
        <w:t>9%</w:t>
      </w:r>
      <w:r>
        <w:rPr>
          <w:spacing w:val="-4"/>
        </w:rPr>
        <w:t>。</w:t>
      </w:r>
    </w:p>
    <w:p w14:paraId="455F446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1.5</w:t>
      </w:r>
      <w:r>
        <w:rPr>
          <w:b/>
          <w:bCs/>
          <w:spacing w:val="-6"/>
        </w:rPr>
        <w:t>工程部分投资</w:t>
      </w:r>
    </w:p>
    <w:p w14:paraId="34A0043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jc w:val="both"/>
        <w:textAlignment w:val="baseline"/>
      </w:pPr>
      <w:r>
        <w:rPr>
          <w:spacing w:val="8"/>
        </w:rPr>
        <w:t>工程部分投资</w:t>
      </w:r>
      <w:r>
        <w:rPr>
          <w:rFonts w:ascii="Times New Roman" w:hAnsi="Times New Roman" w:eastAsia="Times New Roman" w:cs="Times New Roman"/>
          <w:spacing w:val="8"/>
        </w:rPr>
        <w:t>=</w:t>
      </w:r>
      <w:r>
        <w:rPr>
          <w:spacing w:val="8"/>
        </w:rPr>
        <w:t>建筑工程投资</w:t>
      </w:r>
      <w:r>
        <w:rPr>
          <w:rFonts w:ascii="Times New Roman" w:hAnsi="Times New Roman" w:eastAsia="Times New Roman" w:cs="Times New Roman"/>
          <w:spacing w:val="8"/>
        </w:rPr>
        <w:t>+</w:t>
      </w:r>
      <w:r>
        <w:rPr>
          <w:spacing w:val="8"/>
        </w:rPr>
        <w:t>设备及安装工程投资</w:t>
      </w:r>
      <w:r>
        <w:rPr>
          <w:rFonts w:ascii="Times New Roman" w:hAnsi="Times New Roman" w:eastAsia="Times New Roman" w:cs="Times New Roman"/>
          <w:spacing w:val="8"/>
        </w:rPr>
        <w:t>+</w:t>
      </w:r>
      <w:r>
        <w:rPr>
          <w:spacing w:val="8"/>
        </w:rPr>
        <w:t>施工临时工</w:t>
      </w:r>
      <w:r>
        <w:rPr>
          <w:spacing w:val="7"/>
        </w:rPr>
        <w:t>程投</w:t>
      </w:r>
      <w:r>
        <w:t>资</w:t>
      </w:r>
      <w:r>
        <w:rPr>
          <w:rFonts w:ascii="Times New Roman" w:hAnsi="Times New Roman" w:eastAsia="Times New Roman" w:cs="Times New Roman"/>
        </w:rPr>
        <w:t>+</w:t>
      </w:r>
      <w:r>
        <w:t>独立费用</w:t>
      </w:r>
      <w:r>
        <w:rPr>
          <w:rFonts w:ascii="Times New Roman" w:hAnsi="Times New Roman" w:eastAsia="Times New Roman" w:cs="Times New Roman"/>
        </w:rPr>
        <w:t>+</w:t>
      </w:r>
      <w:r>
        <w:t>预备费</w:t>
      </w:r>
      <w:r>
        <w:rPr>
          <w:rFonts w:ascii="Times New Roman" w:hAnsi="Times New Roman" w:eastAsia="Times New Roman" w:cs="Times New Roman"/>
        </w:rPr>
        <w:t>+</w:t>
      </w:r>
      <w:r>
        <w:t>建设期融资利息。（式中前四项之和成为工程</w:t>
      </w:r>
      <w:r>
        <w:rPr>
          <w:spacing w:val="-1"/>
        </w:rPr>
        <w:t>部分一</w:t>
      </w:r>
      <w:r>
        <w:rPr>
          <w:spacing w:val="-3"/>
        </w:rPr>
        <w:t>至四部分投资之和）</w:t>
      </w:r>
    </w:p>
    <w:p w14:paraId="3A74A93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1.5.1</w:t>
      </w:r>
      <w:r>
        <w:rPr>
          <w:b/>
          <w:bCs/>
          <w:spacing w:val="-6"/>
        </w:rPr>
        <w:t>建筑工程</w:t>
      </w:r>
    </w:p>
    <w:p w14:paraId="0533C46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按设计工程量乘以单价进行计算。</w:t>
      </w:r>
    </w:p>
    <w:p w14:paraId="7E2C449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pPr>
      <w:r>
        <w:rPr>
          <w:spacing w:val="-4"/>
          <w:position w:val="1"/>
        </w:rPr>
        <w:t>建筑工程单价</w:t>
      </w:r>
      <w:r>
        <w:rPr>
          <w:rFonts w:ascii="Times New Roman" w:hAnsi="Times New Roman" w:eastAsia="Times New Roman" w:cs="Times New Roman"/>
          <w:spacing w:val="-4"/>
          <w:position w:val="1"/>
        </w:rPr>
        <w:t>=</w:t>
      </w:r>
      <w:r>
        <w:rPr>
          <w:spacing w:val="-4"/>
          <w:position w:val="1"/>
        </w:rPr>
        <w:t>直接费</w:t>
      </w:r>
      <w:r>
        <w:rPr>
          <w:rFonts w:ascii="Times New Roman" w:hAnsi="Times New Roman" w:eastAsia="Times New Roman" w:cs="Times New Roman"/>
          <w:spacing w:val="-4"/>
          <w:position w:val="1"/>
        </w:rPr>
        <w:t>+</w:t>
      </w:r>
      <w:r>
        <w:rPr>
          <w:rFonts w:ascii="Times New Roman" w:hAnsi="Times New Roman" w:eastAsia="Times New Roman" w:cs="Times New Roman"/>
          <w:spacing w:val="-35"/>
          <w:position w:val="1"/>
        </w:rPr>
        <w:t xml:space="preserve"> </w:t>
      </w:r>
      <w:r>
        <w:rPr>
          <w:spacing w:val="-4"/>
          <w:position w:val="1"/>
        </w:rPr>
        <w:t>间接费</w:t>
      </w:r>
      <w:r>
        <w:rPr>
          <w:rFonts w:ascii="Times New Roman" w:hAnsi="Times New Roman" w:eastAsia="Times New Roman" w:cs="Times New Roman"/>
          <w:spacing w:val="-4"/>
          <w:position w:val="1"/>
        </w:rPr>
        <w:t>+</w:t>
      </w:r>
      <w:r>
        <w:rPr>
          <w:spacing w:val="-4"/>
          <w:position w:val="1"/>
        </w:rPr>
        <w:t>利润</w:t>
      </w:r>
      <w:r>
        <w:rPr>
          <w:rFonts w:ascii="Times New Roman" w:hAnsi="Times New Roman" w:eastAsia="Times New Roman" w:cs="Times New Roman"/>
          <w:spacing w:val="-4"/>
          <w:position w:val="1"/>
        </w:rPr>
        <w:t>+</w:t>
      </w:r>
      <w:r>
        <w:rPr>
          <w:spacing w:val="-4"/>
          <w:position w:val="1"/>
        </w:rPr>
        <w:t>价差</w:t>
      </w:r>
      <w:r>
        <w:rPr>
          <w:rFonts w:ascii="Times New Roman" w:hAnsi="Times New Roman" w:eastAsia="Times New Roman" w:cs="Times New Roman"/>
          <w:spacing w:val="-4"/>
          <w:position w:val="1"/>
        </w:rPr>
        <w:t>+</w:t>
      </w:r>
      <w:r>
        <w:rPr>
          <w:spacing w:val="-4"/>
          <w:position w:val="1"/>
        </w:rPr>
        <w:t>税金</w:t>
      </w:r>
    </w:p>
    <w:p w14:paraId="77D5C1A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1.5.2</w:t>
      </w:r>
      <w:r>
        <w:rPr>
          <w:b/>
          <w:bCs/>
          <w:spacing w:val="-6"/>
        </w:rPr>
        <w:t>临时工程</w:t>
      </w:r>
    </w:p>
    <w:p w14:paraId="23FBF35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pPr>
      <w:r>
        <w:rPr>
          <w:spacing w:val="-2"/>
        </w:rPr>
        <w:t>施工安全生产专项：</w:t>
      </w:r>
    </w:p>
    <w:p w14:paraId="503E0C5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0" w:firstLineChars="200"/>
        <w:jc w:val="both"/>
        <w:textAlignment w:val="baseline"/>
        <w:rPr>
          <w:rFonts w:ascii="Times New Roman" w:hAnsi="Times New Roman" w:eastAsia="Times New Roman" w:cs="Times New Roman"/>
        </w:rPr>
      </w:pPr>
      <w:r>
        <w:rPr>
          <w:spacing w:val="5"/>
        </w:rPr>
        <w:t>施工安全生产专项投资</w:t>
      </w:r>
      <w:r>
        <w:rPr>
          <w:rFonts w:ascii="Times New Roman" w:hAnsi="Times New Roman" w:eastAsia="Times New Roman" w:cs="Times New Roman"/>
          <w:spacing w:val="5"/>
        </w:rPr>
        <w:t>=(</w:t>
      </w:r>
      <w:r>
        <w:rPr>
          <w:spacing w:val="5"/>
        </w:rPr>
        <w:t>建筑工程投资</w:t>
      </w:r>
      <w:r>
        <w:rPr>
          <w:rFonts w:ascii="Times New Roman" w:hAnsi="Times New Roman" w:eastAsia="Times New Roman" w:cs="Times New Roman"/>
          <w:spacing w:val="5"/>
        </w:rPr>
        <w:t>+</w:t>
      </w:r>
      <w:r>
        <w:rPr>
          <w:spacing w:val="5"/>
        </w:rPr>
        <w:t>机电设备及安装工程投资</w:t>
      </w:r>
      <w:r>
        <w:rPr>
          <w:rFonts w:ascii="Times New Roman" w:hAnsi="Times New Roman" w:eastAsia="Times New Roman" w:cs="Times New Roman"/>
          <w:spacing w:val="5"/>
        </w:rPr>
        <w:t>+</w:t>
      </w:r>
      <w:r>
        <w:rPr>
          <w:spacing w:val="5"/>
        </w:rPr>
        <w:t>金</w:t>
      </w:r>
      <w:r>
        <w:rPr>
          <w:spacing w:val="24"/>
        </w:rPr>
        <w:t>属结构设备及安装工程投资</w:t>
      </w:r>
      <w:r>
        <w:rPr>
          <w:rFonts w:ascii="Times New Roman" w:hAnsi="Times New Roman" w:eastAsia="Times New Roman" w:cs="Times New Roman"/>
          <w:spacing w:val="24"/>
        </w:rPr>
        <w:t>-</w:t>
      </w:r>
      <w:r>
        <w:rPr>
          <w:rFonts w:ascii="Times New Roman" w:hAnsi="Times New Roman" w:eastAsia="Times New Roman" w:cs="Times New Roman"/>
          <w:spacing w:val="-15"/>
        </w:rPr>
        <w:t xml:space="preserve"> </w:t>
      </w:r>
      <w:r>
        <w:rPr>
          <w:spacing w:val="24"/>
        </w:rPr>
        <w:t>设备费</w:t>
      </w:r>
      <w:r>
        <w:rPr>
          <w:rFonts w:ascii="Times New Roman" w:hAnsi="Times New Roman" w:eastAsia="Times New Roman" w:cs="Times New Roman"/>
          <w:spacing w:val="24"/>
        </w:rPr>
        <w:t>+</w:t>
      </w:r>
      <w:r>
        <w:rPr>
          <w:rFonts w:ascii="Times New Roman" w:hAnsi="Times New Roman" w:eastAsia="Times New Roman" w:cs="Times New Roman"/>
          <w:spacing w:val="-29"/>
        </w:rPr>
        <w:t xml:space="preserve"> </w:t>
      </w:r>
      <w:r>
        <w:rPr>
          <w:spacing w:val="24"/>
        </w:rPr>
        <w:t>施工导流工程投资</w:t>
      </w:r>
      <w:r>
        <w:rPr>
          <w:rFonts w:ascii="Times New Roman" w:hAnsi="Times New Roman" w:eastAsia="Times New Roman" w:cs="Times New Roman"/>
          <w:spacing w:val="24"/>
        </w:rPr>
        <w:t>+</w:t>
      </w:r>
      <w:r>
        <w:rPr>
          <w:rFonts w:ascii="Times New Roman" w:hAnsi="Times New Roman" w:eastAsia="Times New Roman" w:cs="Times New Roman"/>
          <w:spacing w:val="-31"/>
        </w:rPr>
        <w:t xml:space="preserve"> </w:t>
      </w:r>
      <w:r>
        <w:rPr>
          <w:spacing w:val="24"/>
        </w:rPr>
        <w:t>施工交通工</w:t>
      </w:r>
      <w:r>
        <w:t>程投资</w:t>
      </w:r>
      <w:r>
        <w:rPr>
          <w:rFonts w:ascii="Times New Roman" w:hAnsi="Times New Roman" w:eastAsia="Times New Roman" w:cs="Times New Roman"/>
        </w:rPr>
        <w:t>)×(1+</w:t>
      </w:r>
      <w:r>
        <w:t>其他施工临时工程费率</w:t>
      </w:r>
      <w:r>
        <w:rPr>
          <w:rFonts w:ascii="Times New Roman" w:hAnsi="Times New Roman" w:eastAsia="Times New Roman" w:cs="Times New Roman"/>
        </w:rPr>
        <w:t>)×2.5%</w:t>
      </w:r>
    </w:p>
    <w:p w14:paraId="19A9AFE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pPr>
      <w:r>
        <w:rPr>
          <w:spacing w:val="1"/>
        </w:rPr>
        <w:t>本工程其它临时工程：按一至四部分建安工作量的</w:t>
      </w:r>
      <w:r>
        <w:rPr>
          <w:rFonts w:ascii="Times New Roman" w:hAnsi="Times New Roman" w:eastAsia="Times New Roman" w:cs="Times New Roman"/>
          <w:spacing w:val="1"/>
        </w:rPr>
        <w:t>3%</w:t>
      </w:r>
      <w:r>
        <w:rPr>
          <w:spacing w:val="1"/>
        </w:rPr>
        <w:t>计算。</w:t>
      </w:r>
    </w:p>
    <w:p w14:paraId="2A04FEE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outlineLvl w:val="0"/>
      </w:pPr>
      <w:r>
        <w:rPr>
          <w:rFonts w:ascii="Times New Roman" w:hAnsi="Times New Roman" w:eastAsia="Times New Roman" w:cs="Times New Roman"/>
          <w:b/>
          <w:bCs/>
          <w:spacing w:val="-6"/>
        </w:rPr>
        <w:t>1.5.3</w:t>
      </w:r>
      <w:r>
        <w:rPr>
          <w:b/>
          <w:bCs/>
          <w:spacing w:val="-6"/>
        </w:rPr>
        <w:t>独立费用</w:t>
      </w:r>
    </w:p>
    <w:p w14:paraId="689214D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pPr>
      <w:r>
        <w:rPr>
          <w:spacing w:val="-3"/>
        </w:rPr>
        <w:t>小型水库维修养护独立费用包括维修养护管理费、施工监理费、临时</w:t>
      </w:r>
      <w:r>
        <w:rPr>
          <w:spacing w:val="1"/>
        </w:rPr>
        <w:t>占地补偿费、勘察设计费、招标代理费和竣工验收费等六项内容。项目的</w:t>
      </w:r>
      <w:r>
        <w:rPr>
          <w:spacing w:val="-7"/>
        </w:rPr>
        <w:t>维修养护其他费用的项目，参照陕西省水利厅</w:t>
      </w:r>
      <w:r>
        <w:rPr>
          <w:rFonts w:ascii="Times New Roman" w:hAnsi="Times New Roman" w:eastAsia="Times New Roman" w:cs="Times New Roman"/>
          <w:spacing w:val="-7"/>
        </w:rPr>
        <w:t>2023</w:t>
      </w:r>
      <w:r>
        <w:rPr>
          <w:spacing w:val="-7"/>
        </w:rPr>
        <w:t>年</w:t>
      </w:r>
      <w:r>
        <w:rPr>
          <w:rFonts w:ascii="Times New Roman" w:hAnsi="Times New Roman" w:eastAsia="Times New Roman" w:cs="Times New Roman"/>
          <w:spacing w:val="-7"/>
        </w:rPr>
        <w:t>12</w:t>
      </w:r>
      <w:r>
        <w:rPr>
          <w:spacing w:val="-7"/>
        </w:rPr>
        <w:t>月</w:t>
      </w:r>
      <w:r>
        <w:rPr>
          <w:rFonts w:ascii="Times New Roman" w:hAnsi="Times New Roman" w:eastAsia="Times New Roman" w:cs="Times New Roman"/>
          <w:spacing w:val="-7"/>
        </w:rPr>
        <w:t>18</w:t>
      </w:r>
      <w:r>
        <w:rPr>
          <w:spacing w:val="-7"/>
        </w:rPr>
        <w:t>日《关于印发《</w:t>
      </w:r>
      <w:r>
        <w:rPr>
          <w:spacing w:val="-17"/>
        </w:rPr>
        <w:t>陕西省小型水库维修养护定额标准（试行）的通知》》（陕水防发〔</w:t>
      </w:r>
      <w:r>
        <w:rPr>
          <w:rFonts w:ascii="Times New Roman" w:hAnsi="Times New Roman" w:eastAsia="Times New Roman" w:cs="Times New Roman"/>
          <w:spacing w:val="-17"/>
        </w:rPr>
        <w:t>2023</w:t>
      </w:r>
      <w:r>
        <w:rPr>
          <w:spacing w:val="-17"/>
        </w:rPr>
        <w:t>〕</w:t>
      </w:r>
      <w:r>
        <w:rPr>
          <w:rFonts w:ascii="Times New Roman" w:hAnsi="Times New Roman" w:eastAsia="Times New Roman" w:cs="Times New Roman"/>
          <w:spacing w:val="-17"/>
        </w:rPr>
        <w:t>30</w:t>
      </w:r>
      <w:r>
        <w:rPr>
          <w:spacing w:val="-5"/>
        </w:rPr>
        <w:t>号）的要求本办法和小型水库维修养护项目内容及规模等综合分析确定。</w:t>
      </w:r>
    </w:p>
    <w:p w14:paraId="7C6A6177">
      <w:pPr>
        <w:pStyle w:val="2"/>
        <w:spacing w:before="55" w:line="221" w:lineRule="auto"/>
        <w:ind w:left="539"/>
        <w:outlineLvl w:val="0"/>
        <w:rPr>
          <w:rFonts w:hint="eastAsia" w:eastAsia="宋体"/>
          <w:lang w:eastAsia="zh-CN"/>
        </w:rPr>
      </w:pPr>
      <w:r>
        <w:rPr>
          <w:rFonts w:ascii="Times New Roman" w:hAnsi="Times New Roman" w:eastAsia="Times New Roman" w:cs="Times New Roman"/>
          <w:b/>
          <w:bCs/>
          <w:spacing w:val="-6"/>
        </w:rPr>
        <w:t>1.6</w:t>
      </w:r>
      <w:r>
        <w:rPr>
          <w:b/>
          <w:bCs/>
          <w:spacing w:val="-6"/>
        </w:rPr>
        <w:t>工程</w:t>
      </w:r>
      <w:r>
        <w:rPr>
          <w:rFonts w:hint="eastAsia"/>
          <w:b/>
          <w:bCs/>
          <w:spacing w:val="-6"/>
          <w:lang w:val="en-US" w:eastAsia="zh-CN"/>
        </w:rPr>
        <w:t>限价</w:t>
      </w:r>
    </w:p>
    <w:p w14:paraId="59351994">
      <w:pPr>
        <w:pStyle w:val="2"/>
        <w:spacing w:before="208" w:line="361" w:lineRule="auto"/>
        <w:ind w:firstLine="532"/>
      </w:pPr>
      <w:r>
        <w:rPr>
          <w:rFonts w:hint="eastAsia"/>
          <w:spacing w:val="-5"/>
          <w:lang w:val="en-US" w:eastAsia="zh-CN"/>
        </w:rPr>
        <w:t>本项目限价为：337425.62元</w:t>
      </w:r>
      <w:r>
        <w:rPr>
          <w:spacing w:val="-5"/>
        </w:rPr>
        <w:t>。</w:t>
      </w:r>
    </w:p>
    <w:sectPr>
      <w:footerReference r:id="rId5" w:type="default"/>
      <w:pgSz w:w="11906" w:h="16840"/>
      <w:pgMar w:top="1440" w:right="1800" w:bottom="1440" w:left="1800" w:header="0" w:footer="1378"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B957E">
    <w:pPr>
      <w:spacing w:line="235" w:lineRule="exact"/>
      <w:ind w:left="4511"/>
      <w:rPr>
        <w:rFonts w:ascii="Arial" w:hAnsi="Arial" w:eastAsia="Arial" w:cs="Arial"/>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4302A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A4302A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84D4E16"/>
    <w:rsid w:val="0F033FA2"/>
    <w:rsid w:val="338276DC"/>
    <w:rsid w:val="527B2277"/>
    <w:rsid w:val="5F4154B0"/>
    <w:rsid w:val="663A49D3"/>
    <w:rsid w:val="66714B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Times New Roman" w:hAnsi="Times New Roman" w:eastAsia="Times New Roman" w:cs="Times New Roman"/>
      <w:sz w:val="28"/>
      <w:szCs w:val="28"/>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2254</Words>
  <Characters>2485</Characters>
  <TotalTime>0</TotalTime>
  <ScaleCrop>false</ScaleCrop>
  <LinksUpToDate>false</LinksUpToDate>
  <CharactersWithSpaces>2501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2026-04-25T09:10:00Z</dcterms:created>
  <dc:creator>admi</dc:creator>
  <cp:lastModifiedBy>admi</cp:lastModifiedBy>
  <dcterms:modified xsi:type="dcterms:W3CDTF">2026-04-25T10:32:54Z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2026-04-25T17:10:56Z</vt:filetime>
  </property>
  <property fmtid="{D5CDD505-2E9C-101B-9397-08002B2CF9AE}" pid="4" name="KSOTemplateDocerSaveRecord">
    <vt:lpwstr>eyJoZGlkIjoiYWJiMzc3NmVmOTE3YjM4ZGUyZmI1NDQ0OGFiNWI4ZGMiLCJ1c2VySWQiOiIzNTgyNzg4MjIifQ==</vt:lpwstr>
  </property>
  <property fmtid="{D5CDD505-2E9C-101B-9397-08002B2CF9AE}" pid="5" name="KSOProductBuildVer">
    <vt:lpwstr>2052-12.1.0.25865</vt:lpwstr>
  </property>
  <property fmtid="{D5CDD505-2E9C-101B-9397-08002B2CF9AE}" pid="6" name="ICV">
    <vt:lpwstr>901B70D55DB4416FA18852494BC4A7B6_13</vt:lpwstr>
  </property>
</Properties>
</file>