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版本号：ZZZC-2026-00220260326001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幸驾坡村片区征收及安置建设项目专项法律服务采购项目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ZZZC-2026-002</w:t>
      </w:r>
      <w:r>
        <w:br/>
      </w:r>
      <w:r>
        <w:br/>
      </w:r>
      <w:r>
        <w:br/>
      </w:r>
    </w:p>
    <w:p>
      <w:pPr>
        <w:pStyle w:val="null3"/>
        <w:jc w:val="center"/>
        <w:outlineLvl w:val="2"/>
      </w:pPr>
      <w:r>
        <w:rPr>
          <w:rFonts w:ascii="仿宋_GB2312" w:hAnsi="仿宋_GB2312" w:cs="仿宋_GB2312" w:eastAsia="仿宋_GB2312"/>
          <w:sz w:val="28"/>
          <w:b/>
        </w:rPr>
        <w:t>西安市长安区司法局</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西安市长安区司法局</w:t>
      </w:r>
      <w:r>
        <w:rPr>
          <w:rFonts w:ascii="仿宋_GB2312" w:hAnsi="仿宋_GB2312" w:cs="仿宋_GB2312" w:eastAsia="仿宋_GB2312"/>
        </w:rPr>
        <w:t>委托，拟对</w:t>
      </w:r>
      <w:r>
        <w:rPr>
          <w:rFonts w:ascii="仿宋_GB2312" w:hAnsi="仿宋_GB2312" w:cs="仿宋_GB2312" w:eastAsia="仿宋_GB2312"/>
        </w:rPr>
        <w:t>幸驾坡村片区征收及安置建设项目专项法律服务采购项目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幸驾坡村片区征收及安置建设项目专项法律服务采购项目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幸驾坡村片区征收及安置建设项目专项法律服务采购项目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一年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8、证书：供应商具有司法行政管理部门核发并经年审合格的《律师事务所执业许可证》、拟派项目负责人持有司法部门颁发的律师执业证；</w:t>
      </w:r>
    </w:p>
    <w:p>
      <w:pPr>
        <w:pStyle w:val="null3"/>
      </w:pPr>
      <w:r>
        <w:rPr>
          <w:rFonts w:ascii="仿宋_GB2312" w:hAnsi="仿宋_GB2312" w:cs="仿宋_GB2312" w:eastAsia="仿宋_GB2312"/>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西安市长安区韦曲街道西长安街669号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麻敏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029-85280125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1.开户行名称：中招(陕西)项目管理有限公司 2.开 户 行：中国建设银行股份有限公司泾阳县中心街支行 3.账 号：6105 0163 7355 0911 11111 备注：供应商在汇款时须注明项目编号+项目简称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西安市长安区司法局</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西安市长安区司法局</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严格按照法规和行业标准及本项目采购合同、竞争性磋商文件、竞争性磋商响应文件执行验收。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联系人：金工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幸驾坡村片区征收及安置建设项目专项法律服务采购项目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一、委托事项</w:t>
            </w:r>
          </w:p>
          <w:p>
            <w:pPr>
              <w:pStyle w:val="null3"/>
            </w:pPr>
            <w:r>
              <w:rPr>
                <w:rFonts w:ascii="仿宋_GB2312" w:hAnsi="仿宋_GB2312" w:cs="仿宋_GB2312" w:eastAsia="仿宋_GB2312"/>
              </w:rPr>
              <w:t>为幸驾坡村片区征收及安置建设项目盘活工作提供法律服务。具体服务内容如下：</w:t>
            </w:r>
          </w:p>
          <w:p>
            <w:pPr>
              <w:pStyle w:val="null3"/>
            </w:pPr>
            <w:r>
              <w:rPr>
                <w:rFonts w:ascii="仿宋_GB2312" w:hAnsi="仿宋_GB2312" w:cs="仿宋_GB2312" w:eastAsia="仿宋_GB2312"/>
              </w:rPr>
              <w:t>1.项目投资主体变更阶段</w:t>
            </w:r>
          </w:p>
          <w:p>
            <w:pPr>
              <w:pStyle w:val="null3"/>
            </w:pPr>
            <w:r>
              <w:rPr>
                <w:rFonts w:ascii="仿宋_GB2312" w:hAnsi="仿宋_GB2312" w:cs="仿宋_GB2312" w:eastAsia="仿宋_GB2312"/>
              </w:rPr>
              <w:t>1.1协助甲方及区棚改中心根据项目现状草拟新的项目合作协议，明确其承担项目后续建设、手续办理、费用承接及相关法律责任；</w:t>
            </w:r>
          </w:p>
          <w:p>
            <w:pPr>
              <w:pStyle w:val="null3"/>
            </w:pPr>
            <w:r>
              <w:rPr>
                <w:rFonts w:ascii="仿宋_GB2312" w:hAnsi="仿宋_GB2312" w:cs="仿宋_GB2312" w:eastAsia="仿宋_GB2312"/>
              </w:rPr>
              <w:t>1.2就《合作协议》解除条件提供法律意见，并草拟解除函；</w:t>
            </w:r>
          </w:p>
          <w:p>
            <w:pPr>
              <w:pStyle w:val="null3"/>
            </w:pPr>
            <w:r>
              <w:rPr>
                <w:rFonts w:ascii="仿宋_GB2312" w:hAnsi="仿宋_GB2312" w:cs="仿宋_GB2312" w:eastAsia="仿宋_GB2312"/>
              </w:rPr>
              <w:t>1.3协助拟定《合作协议》解除计划，包括项目的安排、程序，并梳理制定幸驾坡村项目盘活工作方案；</w:t>
            </w:r>
          </w:p>
          <w:p>
            <w:pPr>
              <w:pStyle w:val="null3"/>
            </w:pPr>
            <w:r>
              <w:rPr>
                <w:rFonts w:ascii="仿宋_GB2312" w:hAnsi="仿宋_GB2312" w:cs="仿宋_GB2312" w:eastAsia="仿宋_GB2312"/>
              </w:rPr>
              <w:t>1.4就解除阶段可能出现的风险及障碍与甲方及长安区政府预先讨论并制定应对措施；</w:t>
            </w:r>
          </w:p>
          <w:p>
            <w:pPr>
              <w:pStyle w:val="null3"/>
            </w:pPr>
            <w:r>
              <w:rPr>
                <w:rFonts w:ascii="仿宋_GB2312" w:hAnsi="仿宋_GB2312" w:cs="仿宋_GB2312" w:eastAsia="仿宋_GB2312"/>
              </w:rPr>
              <w:t>1.5就甲方及长安区政府在主体变更、工程接管过程中提出的咨询出具律师意见；</w:t>
            </w:r>
          </w:p>
          <w:p>
            <w:pPr>
              <w:pStyle w:val="null3"/>
            </w:pPr>
            <w:r>
              <w:rPr>
                <w:rFonts w:ascii="仿宋_GB2312" w:hAnsi="仿宋_GB2312" w:cs="仿宋_GB2312" w:eastAsia="仿宋_GB2312"/>
              </w:rPr>
              <w:t>1.6协助甲方及长安区政府就投资主体变更备案实施过程中往来函、申请书、汇报材料等的起草和审核；</w:t>
            </w:r>
          </w:p>
          <w:p>
            <w:pPr>
              <w:pStyle w:val="null3"/>
            </w:pPr>
            <w:r>
              <w:rPr>
                <w:rFonts w:ascii="仿宋_GB2312" w:hAnsi="仿宋_GB2312" w:cs="仿宋_GB2312" w:eastAsia="仿宋_GB2312"/>
              </w:rPr>
              <w:t>1.7就该阶段可能出现的其他法律风险及障碍提供法律意见并制定应对措施。</w:t>
            </w:r>
          </w:p>
          <w:p>
            <w:pPr>
              <w:pStyle w:val="null3"/>
            </w:pPr>
            <w:r>
              <w:rPr>
                <w:rFonts w:ascii="仿宋_GB2312" w:hAnsi="仿宋_GB2312" w:cs="仿宋_GB2312" w:eastAsia="仿宋_GB2312"/>
              </w:rPr>
              <w:t>2.项目安置复工实施阶段</w:t>
            </w:r>
          </w:p>
          <w:p>
            <w:pPr>
              <w:pStyle w:val="null3"/>
            </w:pPr>
            <w:r>
              <w:rPr>
                <w:rFonts w:ascii="仿宋_GB2312" w:hAnsi="仿宋_GB2312" w:cs="仿宋_GB2312" w:eastAsia="仿宋_GB2312"/>
              </w:rPr>
              <w:t>2.1为项目工程移交、接管过程提供法律建议；</w:t>
            </w:r>
          </w:p>
          <w:p>
            <w:pPr>
              <w:pStyle w:val="null3"/>
            </w:pPr>
            <w:r>
              <w:rPr>
                <w:rFonts w:ascii="仿宋_GB2312" w:hAnsi="仿宋_GB2312" w:cs="仿宋_GB2312" w:eastAsia="仿宋_GB2312"/>
              </w:rPr>
              <w:t>2.2协助审核甲方及相关主体在项目复工、建设等过程的法律文书；</w:t>
            </w:r>
          </w:p>
          <w:p>
            <w:pPr>
              <w:pStyle w:val="null3"/>
            </w:pPr>
            <w:r>
              <w:rPr>
                <w:rFonts w:ascii="仿宋_GB2312" w:hAnsi="仿宋_GB2312" w:cs="仿宋_GB2312" w:eastAsia="仿宋_GB2312"/>
              </w:rPr>
              <w:t>2.3.提供项目复工建设相关的法律咨询和法律服务，包括但不限于政策解读、法律风险评估等。</w:t>
            </w:r>
          </w:p>
          <w:p>
            <w:pPr>
              <w:pStyle w:val="null3"/>
            </w:pPr>
            <w:r>
              <w:rPr>
                <w:rFonts w:ascii="仿宋_GB2312" w:hAnsi="仿宋_GB2312" w:cs="仿宋_GB2312" w:eastAsia="仿宋_GB2312"/>
              </w:rPr>
              <w:t>3.工程代建阶段</w:t>
            </w:r>
          </w:p>
          <w:p>
            <w:pPr>
              <w:pStyle w:val="null3"/>
            </w:pPr>
            <w:r>
              <w:rPr>
                <w:rFonts w:ascii="仿宋_GB2312" w:hAnsi="仿宋_GB2312" w:cs="仿宋_GB2312" w:eastAsia="仿宋_GB2312"/>
              </w:rPr>
              <w:t>3.1就项目引进代建单位参与项目后续建设事宜，为区政府拟定项目“新老划断”建设方案，为项目“新老划断”建设方式的合法性、合理性提供法律建议；</w:t>
            </w:r>
          </w:p>
          <w:p>
            <w:pPr>
              <w:pStyle w:val="null3"/>
            </w:pPr>
            <w:r>
              <w:rPr>
                <w:rFonts w:ascii="仿宋_GB2312" w:hAnsi="仿宋_GB2312" w:cs="仿宋_GB2312" w:eastAsia="仿宋_GB2312"/>
              </w:rPr>
              <w:t>3.2协助甲方及区政府拟定项目代建协议、项目建设管理三方协议等，明确项目投资主体、代建单位及总包方在后续建设管理中的责任、义务；</w:t>
            </w:r>
          </w:p>
          <w:p>
            <w:pPr>
              <w:pStyle w:val="null3"/>
            </w:pPr>
            <w:r>
              <w:rPr>
                <w:rFonts w:ascii="仿宋_GB2312" w:hAnsi="仿宋_GB2312" w:cs="仿宋_GB2312" w:eastAsia="仿宋_GB2312"/>
              </w:rPr>
              <w:t>3.3对代建过程中可能出现的合同履行争议、工期延误、资金使用等问题提供及时有效的法律支持，保障项目建设依法依规有序推进；</w:t>
            </w:r>
          </w:p>
          <w:p>
            <w:pPr>
              <w:pStyle w:val="null3"/>
            </w:pPr>
            <w:r>
              <w:rPr>
                <w:rFonts w:ascii="仿宋_GB2312" w:hAnsi="仿宋_GB2312" w:cs="仿宋_GB2312" w:eastAsia="仿宋_GB2312"/>
              </w:rPr>
              <w:t>3.4 参加项目相关的区政府会议；</w:t>
            </w:r>
          </w:p>
          <w:p>
            <w:pPr>
              <w:pStyle w:val="null3"/>
            </w:pPr>
            <w:r>
              <w:rPr>
                <w:rFonts w:ascii="仿宋_GB2312" w:hAnsi="仿宋_GB2312" w:cs="仿宋_GB2312" w:eastAsia="仿宋_GB2312"/>
              </w:rPr>
              <w:t>3.5 其他项目代建过程中需协调处理的法律事务。</w:t>
            </w:r>
          </w:p>
          <w:p>
            <w:pPr>
              <w:pStyle w:val="null3"/>
            </w:pPr>
            <w:r>
              <w:rPr>
                <w:rFonts w:ascii="仿宋_GB2312" w:hAnsi="仿宋_GB2312" w:cs="仿宋_GB2312" w:eastAsia="仿宋_GB2312"/>
              </w:rPr>
              <w:t>二、委托期限</w:t>
            </w:r>
          </w:p>
          <w:p>
            <w:pPr>
              <w:pStyle w:val="null3"/>
            </w:pPr>
            <w:r>
              <w:rPr>
                <w:rFonts w:ascii="仿宋_GB2312" w:hAnsi="仿宋_GB2312" w:cs="仿宋_GB2312" w:eastAsia="仿宋_GB2312"/>
              </w:rPr>
              <w:t>合同签订之日起至项目完成。如项目实施过程中发生诉讼纠纷，甲乙双方及相关主体应另行签署诉讼代理法律服务合同。</w:t>
            </w:r>
          </w:p>
          <w:p>
            <w:pPr>
              <w:pStyle w:val="null3"/>
            </w:pPr>
            <w:r>
              <w:rPr>
                <w:rFonts w:ascii="仿宋_GB2312" w:hAnsi="仿宋_GB2312" w:cs="仿宋_GB2312" w:eastAsia="仿宋_GB2312"/>
              </w:rPr>
              <w:t>三、法律服务方式</w:t>
            </w:r>
          </w:p>
          <w:p>
            <w:pPr>
              <w:pStyle w:val="null3"/>
            </w:pPr>
            <w:r>
              <w:rPr>
                <w:rFonts w:ascii="仿宋_GB2312" w:hAnsi="仿宋_GB2312" w:cs="仿宋_GB2312" w:eastAsia="仿宋_GB2312"/>
              </w:rPr>
              <w:t>1.委派律师参与项目会议、提供现场服务；</w:t>
            </w:r>
          </w:p>
          <w:p>
            <w:pPr>
              <w:pStyle w:val="null3"/>
            </w:pPr>
            <w:r>
              <w:rPr>
                <w:rFonts w:ascii="仿宋_GB2312" w:hAnsi="仿宋_GB2312" w:cs="仿宋_GB2312" w:eastAsia="仿宋_GB2312"/>
              </w:rPr>
              <w:t>2.除现场服务外，律师团队持续提供线上服务；</w:t>
            </w:r>
          </w:p>
          <w:p>
            <w:pPr>
              <w:pStyle w:val="null3"/>
            </w:pPr>
            <w:r>
              <w:rPr>
                <w:rFonts w:ascii="仿宋_GB2312" w:hAnsi="仿宋_GB2312" w:cs="仿宋_GB2312" w:eastAsia="仿宋_GB2312"/>
              </w:rPr>
              <w:t>3.根据甲方要求对项目法律咨询事项出具书面法律意见书。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根据项目情况合理配置。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根据项目情况合理配置。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双方均有义务对属于对方的技术和经济秘密进行保护，未经同意不得将对方的资料、成果用于本项目以外的项目。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西安市长安区司法局指定地点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严格按照法规和行业标准及本项目采购合同、竞争性磋商文件、竞争性磋商响应文件执行验收。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自合同签订之日起6个月内，甲方向乙方支付全部服务费，甲方付款前，乙方应向甲方提供等额正式增值税专用发票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2.未按合同要求提供服务方案或服务方案质量不能满足采购技术要求，采购人有权终止合同，并对成交单位违约行为进行追究，同时按《中华人民共和国政府采购法》的有关规定进行处罚。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三副纸质竞争性磋商响应文件，纸质响应文件采用书籍（胶装）方式装订成册，须编制目录、页码和书脊，在书脊处标注项目名称和项目编号，与电子响应文件一致的签字、盖章的完整版本。2.采购人应按照竞争性磋商文件和成交人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供应商需在项目电子化交易系统中按要求上传相应证明文件并进行电子签章。此项审查内容与特殊资格条件中的“财务状况报告”为同一审查内容。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社会保障资金缴纳证明：提供截止至开标时间前一年内任意一个月的社保缴纳凭据或社保机构开具的社会保险参保缴纳情况证明（依法不需要缴纳社会保障资金的供应商应提供相关证明）；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 法定代表人授权委托书（格式）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供应商具有司法行政管理部门核发并经年审合格的《律师事务所执业许可证》、拟派项目负责人持有司法部门颁发的律师执业证；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 号）相关规定，政府采购评审中出现下列情形之一的，评审委员会应当启动异常低价投标（响应）审查程序：1.1投标（响应）报价低于全部通过符合性审查供应商投标（响应）报价平均值50%的，即投标（响应）报价&lt;全部通过符合性审查供应商投标（响应）报价平均值×50%；1.2投标（响应）报价低于通过符合性审查的次低报价供应商投标（响应）报价50%的，即投标（响应）报价&lt;通过符合性审查的次低报价供应商投标（响应）报价×50%；1.3投标（响应）报价低于采购项目最高限价45%的，即投标（响应）报价&lt;采购项目最高限价×45%；1.4评审委员会基于专业判断，认为供应商报价过低，有可能影响产品质量或者不能诚信履约的其他情形。 2.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供应商名称应与获取竞争性磋商文件的单位名称一致。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除明确允许供应商可以自行编写的外，竞争性磋商响应文件应按照竞争性磋商文件给定的格式编制。</w:t>
            </w:r>
          </w:p>
        </w:tc>
        <w:tc>
          <w:tcPr>
            <w:tcW w:type="dxa" w:w="1661"/>
          </w:tcPr>
          <w:p>
            <w:pPr>
              <w:pStyle w:val="null3"/>
            </w:pPr>
            <w:r>
              <w:rPr>
                <w:rFonts w:ascii="仿宋_GB2312" w:hAnsi="仿宋_GB2312" w:cs="仿宋_GB2312" w:eastAsia="仿宋_GB2312"/>
              </w:rPr>
              <w:t>响应文件封面 服务条款响应偏离表（格式） 商务条款响应偏离表（格式） 资格证明文件 供应商参与政府采购活动的承诺函 承诺书 标的清单 法定代表人授权委托书（格式） 拒绝政府采购领域商业贿赂承诺书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竞争性磋商响应文件应按照竞争性磋商文件的要求盖章签字。</w:t>
            </w:r>
          </w:p>
        </w:tc>
        <w:tc>
          <w:tcPr>
            <w:tcW w:type="dxa" w:w="1661"/>
          </w:tcPr>
          <w:p>
            <w:pPr>
              <w:pStyle w:val="null3"/>
            </w:pPr>
            <w:r>
              <w:rPr>
                <w:rFonts w:ascii="仿宋_GB2312" w:hAnsi="仿宋_GB2312" w:cs="仿宋_GB2312" w:eastAsia="仿宋_GB2312"/>
              </w:rPr>
              <w:t>供应商参与政府采购活动的承诺函 中小企业声明函 业绩 供应商认为有必要说明的事宜（若有） 承诺书 拒绝政府采购领域商业贿赂承诺书 响应文件封面 服务条款响应偏离表（格式） 商务条款响应偏离表（格式） 资格证明文件 残疾人福利性单位声明函 服务方案 标的清单 法定代表人授权委托书（格式）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对竞争性磋商文件商务要求是否作出明确且实质性响应。</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对竞争性磋商文件服务内容和要求是否作出明确响应。</w:t>
            </w:r>
          </w:p>
        </w:tc>
        <w:tc>
          <w:tcPr>
            <w:tcW w:type="dxa" w:w="1661"/>
          </w:tcPr>
          <w:p>
            <w:pPr>
              <w:pStyle w:val="null3"/>
            </w:pPr>
            <w:r>
              <w:rPr>
                <w:rFonts w:ascii="仿宋_GB2312" w:hAnsi="仿宋_GB2312" w:cs="仿宋_GB2312" w:eastAsia="仿宋_GB2312"/>
              </w:rPr>
              <w:t>服务条款响应偏离表（格式）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竞争性磋商响应文件未含有采购人不能接受的附加条件。</w:t>
            </w:r>
          </w:p>
        </w:tc>
        <w:tc>
          <w:tcPr>
            <w:tcW w:type="dxa" w:w="1661"/>
          </w:tcPr>
          <w:p>
            <w:pPr>
              <w:pStyle w:val="null3"/>
            </w:pPr>
            <w:r>
              <w:rPr>
                <w:rFonts w:ascii="仿宋_GB2312" w:hAnsi="仿宋_GB2312" w:cs="仿宋_GB2312" w:eastAsia="仿宋_GB2312"/>
              </w:rPr>
              <w:t>供应商认为有必要说明的事宜（若有）</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评审得分相同的，按照最后报价由低到高的顺序推荐。评审得分且最后报价相同的，按照总体方案优劣顺序推荐。评审得分且最后报价且总体方案得分均相同的，成交候选供应商并列。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对本项目的理解和响应，包括但不限于对项目背景目标建设内容、任务描述、方案总体思路、关键性技术问题的认识及项目服务内容的理解等。 ①本项目服务内容及要求理解透彻，实施方案科学合理、详细完整、层次清晰，满足磋商文件、行业服务技术标准及国家有关政策和法律法规的要求，计12分； ②项目方案内容完整、思路清晰，满足项目基本需求，计10分； ③项目方案仅有框架，未针对具体服务内容细化描述，措施不够具体，计8分； ④有 1 项内容欠缺，或针对性不足，计6分； ⑤有 2 项内容欠缺，或方案存在常识性错误、不适用本项目实际情况，计4分； ⑥有 3-4 项内容欠缺，方案不完善的，计2分； ⑦未提供相关内容的不计分。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提供科学有效的沟通协调机制，包括但不限于：沟通管理体系、对接流程、响应机制、多方协调方案等。 ①方案专为本项目编制，内容完善，贴合项目实际与实施要求，沟通体系完整，流程清晰、响应及时，计10分； ②方案内容完整、可行，满足项目需要，计8分； ③仅有框架内容，未细化具体流程与措施，计6分； ④有1项欠缺或针对性不强，计4分； ⑤有2项欠缺或方案存在明显缺陷、不适用项目，计2分； ⑥未提供相关内容的不计分。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提出项目实施过程中存在的重点、难点分析及解决方案。 ①内容针对本项目编制，切合本项目实际情况及实施要求，内容与要点相符、对本项目有建设性作用，并提供相应解决措施及方案的，计8分； ②内容对本项目有建设性作用，但条理不清晰，计6分； ③仅有框架，未细化应对措施，计4分； ④有1项欠缺或分析不全面、措施笼统，计2分； ⑤未提供相关内容的不计分。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进度保证措施包括但不限于：项目工作计划、进度控制、阶段划分、任务安排、关键节点控制、组织保障等。 ①方案内容专门针对本项目编制，切合项目实际，全面满足项目实施要求，计10分； ②项目方案内容完整，但条理不清晰，计8分； ③方案仅为框架结构，未对各项要点展开细化描述，措施不够具体，计6分；④有 1 项内容欠缺或针对性不足，计4分；⑤有 2 项内容欠缺或方案存在常识性错误、不适用本项目实际情况，计2分；⑥未提供相关内容的不计分。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提供内部管理制度、人员岗位职责、财务管理制度、质量控制制度、业务管理制度、档案管理制度等。①制度完善合理且详细全面的，计6分；②只有框架无详细内容的，计4分；③内容缺项的或只有简单概括的，计2分。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针对本项目实施过程中突发状况提出应急服务方案、制定应急响应机制、处置流程、响应时限、责任分工、风险化解及保障措施。 ①内容详细全面、贴合项目情况、处置流程完整、责任明确、措施具体可行，计6分； ②内容全面，但条理不清晰的，计4分； ③内容有缺项或只有框架的，计2分；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提供完善的保密制度和措施，包含但不限于：项目信息保密、客户信息保密措施、员工保密管理措施、泄密的处理及处罚措施、档案资料保密等，并提供保密承诺。 ①内容详细全面、制度措施具体可行、贴合项目情况，计6分； ②内容有1项缺项或条理不清晰的，计4分； ③内容有2项缺项或只有框架的，计2分；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供应商针对本项目服务进度安排、服务响应时间、服务质量标准、服务时效、成果交付等作出专项承诺。 ①内容详细，承诺具体、合理可行，切合项目需求，计6分； ②内容全面，但未针对各项内容进行详细描述的，计4分； ③内容有欠缺或仅有粗略框架，计2分；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根据服务范围和内容要求开展工作，并及时反馈，回复信息，提出合理的意见和建议，实施工作内容主动沟通、汇报。 ①内容详细全面、贴合项目情况、切实可行的，计6分； ②内容全面但条理不清晰的，计4分； ③内容缺项的或只有简单概括的，计2分；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拟投入本项目团队组织架构、具体人员配置、分工安排、资质背景等。根据拟投入本项目人员的数量、工作年限、学历、工作经验等进行赋分（提供相应证明资料） ①内容详细，组织架构清晰、经验丰富、分工明确、资质齐全，完全适配项目需求，计10分； ②人员配置完整、分工合理，满足项目需求，计8分； ③仅提供框架内容、分工未细化，计6分； ④团队人员配置不足，无相关项目服务经验，或有1项内容欠缺，计4分； ⑤有2项内容欠缺或人员配置不符合项目实际需求，计2分； ⑥未提供相关内容的不计分。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供应商提供近三年来（2023年01月01日至今）类似业绩，每提供1个业绩得2分，计满10分为止（提供合同或中标通知书复印件，以合同签订时间或中标通知书签发日期为准，未提供不得分）。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详见附件：服务条款响应偏离表（格式）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详见附件：供应商认为有必要说明的事宜（若有）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