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版本号：KHXM-ZB-2603.1B220260318001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2025年长安区地膜科学回收使用项目（生物有机肥、全生物降解地膜）(二次)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KHXM-ZB-2603.1B2</w:t>
      </w:r>
      <w:r>
        <w:br/>
      </w:r>
      <w:r>
        <w:br/>
      </w:r>
      <w:r>
        <w:br/>
      </w:r>
    </w:p>
    <w:p>
      <w:pPr>
        <w:pStyle w:val="null3"/>
        <w:jc w:val="center"/>
        <w:outlineLvl w:val="2"/>
      </w:pPr>
      <w:r>
        <w:rPr>
          <w:rFonts w:ascii="仿宋_GB2312" w:hAnsi="仿宋_GB2312" w:cs="仿宋_GB2312" w:eastAsia="仿宋_GB2312"/>
          <w:sz w:val="28"/>
          <w:b/>
        </w:rPr>
        <w:t>西安市长安区农业技术推广中心</w:t>
      </w:r>
    </w:p>
    <w:p>
      <w:pPr>
        <w:pStyle w:val="null3"/>
        <w:jc w:val="center"/>
        <w:outlineLvl w:val="2"/>
      </w:pPr>
      <w:r>
        <w:rPr>
          <w:rFonts w:ascii="仿宋_GB2312" w:hAnsi="仿宋_GB2312" w:cs="仿宋_GB2312" w:eastAsia="仿宋_GB2312"/>
          <w:sz w:val="28"/>
          <w:b/>
        </w:rPr>
        <w:t>西安昆衡项目管理有限公司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西安昆衡项目管理有限公司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西安市长安区农业技术推广中心</w:t>
      </w:r>
      <w:r>
        <w:rPr>
          <w:rFonts w:ascii="仿宋_GB2312" w:hAnsi="仿宋_GB2312" w:cs="仿宋_GB2312" w:eastAsia="仿宋_GB2312"/>
        </w:rPr>
        <w:t>委托，拟对</w:t>
      </w:r>
      <w:r>
        <w:rPr>
          <w:rFonts w:ascii="仿宋_GB2312" w:hAnsi="仿宋_GB2312" w:cs="仿宋_GB2312" w:eastAsia="仿宋_GB2312"/>
        </w:rPr>
        <w:t>2025年长安区地膜科学回收使用项目（生物有机肥、全生物降解地膜）(二次)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KHXM-ZB-2603.1B2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2025年长安区地膜科学回收使用项目（生物有机肥、全生物降解地膜）(二次)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地膜作为现代农业的重要生产资料，在增产保收方面成效显著，但传统低质聚乙烯地膜引发的环境问题日益凸显。为了更好的推广加厚地膜、全生物降解地膜等新型材料，配套完善地膜回收体系，从根本上解决农业面源污染问题，拟通过竞争性谈判方式采购一批生物有机肥和全生物降解地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采购包1（2025年长安区地膜科学回收使用项目（生物有机肥、全生物降解地膜））：属于专门面向中小企业采购。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及被授权人磋商截止日前一年内已缴存的至少一个月的社会保障资金凭证）；法定代表人直接参加投标，须提供法定代表人身份证明。</w:t>
      </w:r>
    </w:p>
    <w:p>
      <w:pPr>
        <w:pStyle w:val="null3"/>
      </w:pPr>
      <w:r>
        <w:rPr>
          <w:rFonts w:ascii="仿宋_GB2312" w:hAnsi="仿宋_GB2312" w:cs="仿宋_GB2312" w:eastAsia="仿宋_GB2312"/>
        </w:rPr>
        <w:t>2、信用截图：供应商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3、肥料登记证及质检报告：供应商需提供所投肥料产品合法有效的肥料登记证及近两年内（以投标截止日期为准）第三方检测机构出具的所投肥料产品质检报告。</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西安市长安区南长安街201A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13572429842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西安昆衡项目管理有限公司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陕西省西安市长安区韦曲街办徐家寨社区2-214至2-217</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王同鑫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18009259083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代理服务费收费标准：以中标价为基数，参照《招标代理服务收费管理暂行办法》计价格[2002]1980号文和发改价格[2011]534号的有关规定计取。不足5000元按5000元计取。 户名：西安昆衡项目管理有限公司 开户行：中国银行西安长安区樊川路支行 账号：103290501162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西安市长安区农业技术推广中心</w:t>
      </w:r>
      <w:r>
        <w:rPr>
          <w:rFonts w:ascii="仿宋_GB2312" w:hAnsi="仿宋_GB2312" w:cs="仿宋_GB2312" w:eastAsia="仿宋_GB2312"/>
        </w:rPr>
        <w:t>和</w:t>
      </w:r>
      <w:r>
        <w:rPr>
          <w:rFonts w:ascii="仿宋_GB2312" w:hAnsi="仿宋_GB2312" w:cs="仿宋_GB2312" w:eastAsia="仿宋_GB2312"/>
        </w:rPr>
        <w:t>西安昆衡项目管理有限公司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西安昆衡项目管理有限公司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西安昆衡项目管理有限公司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西安昆衡项目管理有限公司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西安昆衡项目管理有限公司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西安昆衡项目管理有限公司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联系人：王同鑫</w:t>
      </w:r>
    </w:p>
    <w:p>
      <w:pPr>
        <w:pStyle w:val="null3"/>
      </w:pPr>
      <w:r>
        <w:rPr>
          <w:rFonts w:ascii="仿宋_GB2312" w:hAnsi="仿宋_GB2312" w:cs="仿宋_GB2312" w:eastAsia="仿宋_GB2312"/>
        </w:rPr>
        <w:t>联系电话：18009259083</w:t>
      </w:r>
    </w:p>
    <w:p>
      <w:pPr>
        <w:pStyle w:val="null3"/>
      </w:pPr>
      <w:r>
        <w:rPr>
          <w:rFonts w:ascii="仿宋_GB2312" w:hAnsi="仿宋_GB2312" w:cs="仿宋_GB2312" w:eastAsia="仿宋_GB2312"/>
        </w:rPr>
        <w:t>地址：陕西省西安市长安区韦曲街办徐家寨社区2-214至2-217</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膜作为现代农业的重要生产资料，在增产保收方面成效显著，但传统低质聚乙烯地膜引发的环境问题日益凸显。为了更好的推广加厚地膜、全生物降解地膜等新型材料，配套完善地膜回收体系，从根本上解决农业面源污染问题，拟通过竞争性谈判方式采购一批生物有机肥和全生物降解地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335,000.00</w:t>
      </w:r>
    </w:p>
    <w:p>
      <w:pPr>
        <w:pStyle w:val="null3"/>
      </w:pPr>
      <w:r>
        <w:rPr>
          <w:rFonts w:ascii="仿宋_GB2312" w:hAnsi="仿宋_GB2312" w:cs="仿宋_GB2312" w:eastAsia="仿宋_GB2312"/>
        </w:rPr>
        <w:t>采购包最高限价（元）: 335,000.00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生物有机肥及全生物降解地膜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标的名称：生物有机肥及全生物降解地膜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3"/>
              <w:jc w:val="both"/>
            </w:pPr>
            <w:r>
              <w:rPr>
                <w:rFonts w:ascii="仿宋_GB2312" w:hAnsi="仿宋_GB2312" w:cs="仿宋_GB2312" w:eastAsia="仿宋_GB2312"/>
                <w:sz w:val="32"/>
                <w:b/>
              </w:rPr>
              <w:t>1、产品技术规格与要求</w:t>
            </w:r>
          </w:p>
          <w:tbl>
            <w:tblPr>
              <w:tblBorders>
                <w:top w:val="none" w:color="000000" w:sz="4"/>
                <w:left w:val="none" w:color="000000" w:sz="4"/>
                <w:bottom w:val="none" w:color="000000" w:sz="4"/>
                <w:right w:val="none" w:color="000000" w:sz="4"/>
                <w:insideH w:val="none"/>
                <w:insideV w:val="none"/>
              </w:tblBorders>
            </w:tblPr>
            <w:tblGrid>
              <w:gridCol w:w="458"/>
              <w:gridCol w:w="402"/>
              <w:gridCol w:w="1176"/>
              <w:gridCol w:w="253"/>
              <w:gridCol w:w="263"/>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技术规格与要求</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生物有机肥</w:t>
                  </w:r>
                  <w:r>
                    <w:rPr>
                      <w:rFonts w:ascii="仿宋_GB2312" w:hAnsi="仿宋_GB2312" w:cs="仿宋_GB2312" w:eastAsia="仿宋_GB2312"/>
                      <w:sz w:val="21"/>
                    </w:rPr>
                    <w:t>（核心产品）</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执行</w:t>
                  </w:r>
                  <w:r>
                    <w:rPr>
                      <w:rFonts w:ascii="仿宋_GB2312" w:hAnsi="仿宋_GB2312" w:cs="仿宋_GB2312" w:eastAsia="仿宋_GB2312"/>
                      <w:sz w:val="24"/>
                    </w:rPr>
                    <w:t>NY884-2012标准：</w:t>
                  </w:r>
                </w:p>
                <w:p>
                  <w:pPr>
                    <w:pStyle w:val="null3"/>
                    <w:jc w:val="left"/>
                  </w:pPr>
                  <w:r>
                    <w:rPr>
                      <w:rFonts w:ascii="仿宋_GB2312" w:hAnsi="仿宋_GB2312" w:cs="仿宋_GB2312" w:eastAsia="仿宋_GB2312"/>
                      <w:sz w:val="24"/>
                    </w:rPr>
                    <w:t>1、有效活菌数≥0.20亿/g；</w:t>
                  </w:r>
                </w:p>
                <w:p>
                  <w:pPr>
                    <w:pStyle w:val="null3"/>
                    <w:jc w:val="left"/>
                  </w:pPr>
                  <w:r>
                    <w:rPr>
                      <w:rFonts w:ascii="仿宋_GB2312" w:hAnsi="仿宋_GB2312" w:cs="仿宋_GB2312" w:eastAsia="仿宋_GB2312"/>
                      <w:sz w:val="24"/>
                    </w:rPr>
                    <w:t>2、有机质≥40.0%；</w:t>
                  </w:r>
                </w:p>
                <w:p>
                  <w:pPr>
                    <w:pStyle w:val="null3"/>
                    <w:jc w:val="left"/>
                  </w:pPr>
                  <w:r>
                    <w:rPr>
                      <w:rFonts w:ascii="仿宋_GB2312" w:hAnsi="仿宋_GB2312" w:cs="仿宋_GB2312" w:eastAsia="仿宋_GB2312"/>
                      <w:sz w:val="24"/>
                    </w:rPr>
                    <w:t>3、产品形态：颗粒</w:t>
                  </w:r>
                </w:p>
                <w:p>
                  <w:pPr>
                    <w:pStyle w:val="null3"/>
                    <w:jc w:val="left"/>
                  </w:pPr>
                  <w:r>
                    <w:rPr>
                      <w:rFonts w:ascii="仿宋_GB2312" w:hAnsi="仿宋_GB2312" w:cs="仿宋_GB2312" w:eastAsia="仿宋_GB2312"/>
                      <w:sz w:val="24"/>
                    </w:rPr>
                    <w:t>4、水分≤30.0%；</w:t>
                  </w:r>
                </w:p>
                <w:p>
                  <w:pPr>
                    <w:pStyle w:val="null3"/>
                    <w:jc w:val="left"/>
                  </w:pPr>
                  <w:r>
                    <w:rPr>
                      <w:rFonts w:ascii="仿宋_GB2312" w:hAnsi="仿宋_GB2312" w:cs="仿宋_GB2312" w:eastAsia="仿宋_GB2312"/>
                      <w:sz w:val="24"/>
                    </w:rPr>
                    <w:t>5、pH值5.5-8.5；</w:t>
                  </w:r>
                </w:p>
                <w:p>
                  <w:pPr>
                    <w:pStyle w:val="null3"/>
                    <w:jc w:val="left"/>
                  </w:pPr>
                  <w:r>
                    <w:rPr>
                      <w:rFonts w:ascii="仿宋_GB2312" w:hAnsi="仿宋_GB2312" w:cs="仿宋_GB2312" w:eastAsia="仿宋_GB2312"/>
                      <w:sz w:val="24"/>
                    </w:rPr>
                    <w:t>6、粪大肠菌群数≤100个/g；</w:t>
                  </w:r>
                </w:p>
                <w:p>
                  <w:pPr>
                    <w:pStyle w:val="null3"/>
                    <w:jc w:val="left"/>
                  </w:pPr>
                  <w:r>
                    <w:rPr>
                      <w:rFonts w:ascii="仿宋_GB2312" w:hAnsi="仿宋_GB2312" w:cs="仿宋_GB2312" w:eastAsia="仿宋_GB2312"/>
                      <w:sz w:val="24"/>
                    </w:rPr>
                    <w:t>7、蛔虫卵死亡率≥95%；</w:t>
                  </w:r>
                </w:p>
                <w:p>
                  <w:pPr>
                    <w:pStyle w:val="null3"/>
                    <w:jc w:val="left"/>
                  </w:pPr>
                  <w:r>
                    <w:rPr>
                      <w:rFonts w:ascii="仿宋_GB2312" w:hAnsi="仿宋_GB2312" w:cs="仿宋_GB2312" w:eastAsia="仿宋_GB2312"/>
                      <w:sz w:val="24"/>
                    </w:rPr>
                    <w:t>8、铅（Pb）≤50mg/kg；</w:t>
                  </w:r>
                </w:p>
                <w:p>
                  <w:pPr>
                    <w:pStyle w:val="null3"/>
                    <w:jc w:val="left"/>
                  </w:pPr>
                  <w:r>
                    <w:rPr>
                      <w:rFonts w:ascii="仿宋_GB2312" w:hAnsi="仿宋_GB2312" w:cs="仿宋_GB2312" w:eastAsia="仿宋_GB2312"/>
                      <w:sz w:val="24"/>
                    </w:rPr>
                    <w:t>9、镉（Cd）≤3mg/kg；</w:t>
                  </w:r>
                </w:p>
                <w:p>
                  <w:pPr>
                    <w:pStyle w:val="null3"/>
                    <w:jc w:val="left"/>
                  </w:pPr>
                  <w:r>
                    <w:rPr>
                      <w:rFonts w:ascii="仿宋_GB2312" w:hAnsi="仿宋_GB2312" w:cs="仿宋_GB2312" w:eastAsia="仿宋_GB2312"/>
                      <w:sz w:val="24"/>
                    </w:rPr>
                    <w:t>10、铬（Cr）≤150mg/kg；</w:t>
                  </w:r>
                </w:p>
                <w:p>
                  <w:pPr>
                    <w:pStyle w:val="null3"/>
                    <w:jc w:val="left"/>
                  </w:pPr>
                  <w:r>
                    <w:rPr>
                      <w:rFonts w:ascii="仿宋_GB2312" w:hAnsi="仿宋_GB2312" w:cs="仿宋_GB2312" w:eastAsia="仿宋_GB2312"/>
                      <w:sz w:val="24"/>
                    </w:rPr>
                    <w:t>11、砷（As）≤15mg/kg；</w:t>
                  </w:r>
                </w:p>
                <w:p>
                  <w:pPr>
                    <w:pStyle w:val="null3"/>
                    <w:jc w:val="left"/>
                  </w:pPr>
                  <w:r>
                    <w:rPr>
                      <w:rFonts w:ascii="仿宋_GB2312" w:hAnsi="仿宋_GB2312" w:cs="仿宋_GB2312" w:eastAsia="仿宋_GB2312"/>
                      <w:sz w:val="24"/>
                    </w:rPr>
                    <w:t>12、汞（Hg）≤2mg/kg；</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40kg/袋。</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4375</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全生物降解农用地膜</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执行标准：执行标准：GB/T35795-2017</w:t>
                  </w:r>
                </w:p>
                <w:p>
                  <w:pPr>
                    <w:pStyle w:val="null3"/>
                  </w:pPr>
                  <w:r>
                    <w:rPr>
                      <w:rFonts w:ascii="仿宋_GB2312" w:hAnsi="仿宋_GB2312" w:cs="仿宋_GB2312" w:eastAsia="仿宋_GB2312"/>
                      <w:sz w:val="21"/>
                    </w:rPr>
                    <w:t>1、标称厚度≥0.008mm，宽度900mm；</w:t>
                  </w:r>
                </w:p>
                <w:p>
                  <w:pPr>
                    <w:pStyle w:val="null3"/>
                  </w:pPr>
                  <w:r>
                    <w:rPr>
                      <w:rFonts w:ascii="仿宋_GB2312" w:hAnsi="仿宋_GB2312" w:cs="仿宋_GB2312" w:eastAsia="仿宋_GB2312"/>
                      <w:sz w:val="21"/>
                    </w:rPr>
                    <w:t>2、有效覆盖时间≥120天；</w:t>
                  </w:r>
                </w:p>
                <w:p>
                  <w:pPr>
                    <w:pStyle w:val="null3"/>
                  </w:pPr>
                  <w:r>
                    <w:rPr>
                      <w:rFonts w:ascii="仿宋_GB2312" w:hAnsi="仿宋_GB2312" w:cs="仿宋_GB2312" w:eastAsia="仿宋_GB2312"/>
                      <w:sz w:val="21"/>
                    </w:rPr>
                    <w:t>3、供应商所供全生物降解农用地膜生产日期应在</w:t>
                  </w:r>
                </w:p>
                <w:p>
                  <w:pPr>
                    <w:pStyle w:val="null3"/>
                  </w:pPr>
                  <w:r>
                    <w:rPr>
                      <w:rFonts w:ascii="仿宋_GB2312" w:hAnsi="仿宋_GB2312" w:cs="仿宋_GB2312" w:eastAsia="仿宋_GB2312"/>
                      <w:sz w:val="21"/>
                    </w:rPr>
                    <w:t>供货日期前10日内。</w:t>
                  </w:r>
                </w:p>
                <w:p>
                  <w:pPr>
                    <w:pStyle w:val="null3"/>
                  </w:pPr>
                  <w:r>
                    <w:rPr>
                      <w:rFonts w:ascii="仿宋_GB2312" w:hAnsi="仿宋_GB2312" w:cs="仿宋_GB2312" w:eastAsia="仿宋_GB2312"/>
                      <w:sz w:val="21"/>
                    </w:rPr>
                    <w:t>4、颜色：白色；</w:t>
                  </w:r>
                </w:p>
                <w:p>
                  <w:pPr>
                    <w:pStyle w:val="null3"/>
                  </w:pPr>
                  <w:r>
                    <w:rPr>
                      <w:rFonts w:ascii="仿宋_GB2312" w:hAnsi="仿宋_GB2312" w:cs="仿宋_GB2312" w:eastAsia="仿宋_GB2312"/>
                      <w:sz w:val="21"/>
                    </w:rPr>
                    <w:t>5、10kg/卷。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bl>
          <w:p>
            <w:pPr>
              <w:pStyle w:val="null3"/>
              <w:ind w:firstLine="643"/>
              <w:jc w:val="both"/>
            </w:pPr>
            <w:r>
              <w:rPr>
                <w:rFonts w:ascii="仿宋_GB2312" w:hAnsi="仿宋_GB2312" w:cs="仿宋_GB2312" w:eastAsia="仿宋_GB2312"/>
                <w:sz w:val="32"/>
                <w:b/>
              </w:rPr>
              <w:t>2、产品技术资料：</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产品使用说明书；</w:t>
            </w:r>
          </w:p>
          <w:p>
            <w:pPr>
              <w:pStyle w:val="null3"/>
              <w:ind w:firstLine="480"/>
              <w:jc w:val="both"/>
            </w:pPr>
            <w:r>
              <w:rPr>
                <w:rFonts w:ascii="仿宋_GB2312" w:hAnsi="仿宋_GB2312" w:cs="仿宋_GB2312" w:eastAsia="仿宋_GB2312"/>
                <w:sz w:val="24"/>
              </w:rPr>
              <w:t>(2)其它资料。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合同签订后，7个日历日内按采购人规定时间及地点配送全生物降解农用地膜；五个月内按照采 购人规定时间及地点分批配送生物有机肥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该项目验收完成后，按照财政资金拨付情况及时支付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产品质保期遵从国家相关规定执行，成交单位承诺的质保时间超过要求质保期的，按其承诺时间质保</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产品质保期遵从国家相关规定执行，成交单位承诺的质保时间超过要求质保期的，按其承诺时间质保。</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（二）双方必须严格遵守协议条款约定。 （三）乙方未能按时完成服务的，按逾期处理，乙方应向甲方偿付合同货款总额10%的违约金，逾期超过五天，甲方有权单方终止合同，甲方有权按法律规定（程序）向乙方索赔因此造成的损失。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本项目核心产品：生物有机肥。 中标单位中标后需将纸质投标文件 ( 一正二副二电子U盘) 送至采购代理机构处。纸质版须与电子版保持一致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 2.提供2024年度完整的财务审计报告，或开标时间前三个月内银行出具的资信证明。其他组织和自然人提供银行出具的资信证明 3.提供具有履行合同所必需的设备和专业技术能力的承诺；4.税收缴纳证明：提供投标文件递交截止日前一年内已缴纳的至少一个月的纳税证明或完税证明，依法免税的单位应提供相关证明材料；5.社会保障资金缴纳证明：提供投标文件递交截止日前一年内已缴存的至少一个月的社会保障资金缴存单据或社保机构开具的 社会保险参保缴费情况证明，依法不需要缴纳社会保障资金的单位应提供相关证明材料；6.参加政府采购活动前3年内，在经营活动中没有重大违法记录的书面声明。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供应商需在项目电子化交易系统中按要求上传相应证明文件并进行电子签章。提供2024年度完整的财务审计报告，或开标时间前三个月内银行出具的资信证明。其他组织和自然人提供银行出具的资信证明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肥料登记证及质检报告</w:t>
            </w:r>
          </w:p>
        </w:tc>
        <w:tc>
          <w:tcPr>
            <w:tcW w:type="dxa" w:w="3322"/>
          </w:tcPr>
          <w:p>
            <w:pPr>
              <w:pStyle w:val="null3"/>
            </w:pPr>
            <w:r>
              <w:rPr>
                <w:rFonts w:ascii="仿宋_GB2312" w:hAnsi="仿宋_GB2312" w:cs="仿宋_GB2312" w:eastAsia="仿宋_GB2312"/>
              </w:rPr>
              <w:t>供应商需提供所投肥料产品合法有效的肥料登记证及近两年内（以投标截止日期为准）第三方检测机构出具的所投肥料产品质检报告。</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响应文件中需要供应商、法定代表人（负责人）或其授权代表人盖章、签字处有盖章、签字</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谈判文件有效期</w:t>
            </w:r>
          </w:p>
        </w:tc>
        <w:tc>
          <w:tcPr>
            <w:tcW w:type="dxa" w:w="3322"/>
          </w:tcPr>
          <w:p>
            <w:pPr>
              <w:pStyle w:val="null3"/>
            </w:pPr>
            <w:r>
              <w:rPr>
                <w:rFonts w:ascii="仿宋_GB2312" w:hAnsi="仿宋_GB2312" w:cs="仿宋_GB2312" w:eastAsia="仿宋_GB2312"/>
              </w:rPr>
              <w:t>应符合谈判文件的规定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详见附件：农技中心化肥及地膜--合同主要条款及格式.docx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