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版本号：JC2026-CG0502(16)20260327001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长安区大峪、东沟、许家沟水库饮用水水源地保护划定项目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JC2026-CG0502(16)</w:t>
      </w:r>
      <w:r>
        <w:br/>
      </w:r>
      <w:r>
        <w:br/>
      </w:r>
      <w:r>
        <w:br/>
      </w:r>
    </w:p>
    <w:p>
      <w:pPr>
        <w:pStyle w:val="null3"/>
        <w:jc w:val="center"/>
        <w:outlineLvl w:val="2"/>
      </w:pPr>
      <w:r>
        <w:rPr>
          <w:rFonts w:ascii="仿宋_GB2312" w:hAnsi="仿宋_GB2312" w:cs="仿宋_GB2312" w:eastAsia="仿宋_GB2312"/>
          <w:sz w:val="28"/>
          <w:b/>
        </w:rPr>
        <w:t>西安市长安区大峪灌区管理站</w:t>
      </w:r>
    </w:p>
    <w:p>
      <w:pPr>
        <w:pStyle w:val="null3"/>
        <w:jc w:val="center"/>
        <w:outlineLvl w:val="2"/>
      </w:pPr>
      <w:r>
        <w:rPr>
          <w:rFonts w:ascii="仿宋_GB2312" w:hAnsi="仿宋_GB2312" w:cs="仿宋_GB2312" w:eastAsia="仿宋_GB2312"/>
          <w:sz w:val="28"/>
          <w:b/>
        </w:rPr>
        <w:t>陕西景诚项目管理有限公司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陕西景诚项目管理有限公司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西安市长安区大峪灌区管理站</w:t>
      </w:r>
      <w:r>
        <w:rPr>
          <w:rFonts w:ascii="仿宋_GB2312" w:hAnsi="仿宋_GB2312" w:cs="仿宋_GB2312" w:eastAsia="仿宋_GB2312"/>
        </w:rPr>
        <w:t>委托，拟对</w:t>
      </w:r>
      <w:r>
        <w:rPr>
          <w:rFonts w:ascii="仿宋_GB2312" w:hAnsi="仿宋_GB2312" w:cs="仿宋_GB2312" w:eastAsia="仿宋_GB2312"/>
        </w:rPr>
        <w:t>长安区大峪、东沟、许家沟水库饮用水水源地保护划定项目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JC2026-CG0502(16)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长安区大峪、东沟、许家沟水库饮用水水源地保护划定项目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进一步做好长安区集中式饮用水水源保护工作，防范水源污染风险，切实保障人民群众饮水安全，长安区大峪、东沟、许家沟水库饮用水水源地保护划定项目，主要服务内容包括但不限于科学合理划分保护区范围，因地制宜提出保护措施，编制长安区大峪、东沟、许家沟三座水库饮用水水源保护区划分技术报告。</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采购包1（长安区大峪、东沟、许家沟水库饮用水水源地保护划定项目）：属于专门面向中小企业采购。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1、供应商具有独立承担民事责任的能力：供应商具有独立承担民事责任的能力：提供合格有效的法人或者其他组织的营业执照、事业单位法人证等证明文件或自然人的身份证明；</w:t>
      </w:r>
    </w:p>
    <w:p>
      <w:pPr>
        <w:pStyle w:val="null3"/>
      </w:pPr>
      <w:r>
        <w:rPr>
          <w:rFonts w:ascii="仿宋_GB2312" w:hAnsi="仿宋_GB2312" w:cs="仿宋_GB2312" w:eastAsia="仿宋_GB2312"/>
        </w:rPr>
        <w:t>2、财务状况报告：供应商具有良好的商业信誉和健全的财务会计制度：提供2024年度或2025年度经审计的财务会计报告（至少包括审计报告、资产负债表和利润表，成立时间至响应文件递交截止时间不足一年的可提供成立后任意时段的资产负债表）或提供响应文件递交截止时间前三个月内其基本账户开户银行出具的资信证明（附基本存款账户信息），以上形式的证明资料提供任何一种即可；</w:t>
      </w:r>
    </w:p>
    <w:p>
      <w:pPr>
        <w:pStyle w:val="null3"/>
      </w:pPr>
      <w:r>
        <w:rPr>
          <w:rFonts w:ascii="仿宋_GB2312" w:hAnsi="仿宋_GB2312" w:cs="仿宋_GB2312" w:eastAsia="仿宋_GB2312"/>
        </w:rPr>
        <w:t>3、税收缴纳证明：有依法缴纳税收的良好记录：提供响应文件递交截止时间前一年内至少一个月的纳税证明或完税证明（增值税、营业税、企业所得税至少提供一种），纳税证明或完税证明上应有代收机构或税务机关的公章或业务专用章。依法免税的单位应提供相关证明材料；</w:t>
      </w:r>
    </w:p>
    <w:p>
      <w:pPr>
        <w:pStyle w:val="null3"/>
      </w:pPr>
      <w:r>
        <w:rPr>
          <w:rFonts w:ascii="仿宋_GB2312" w:hAnsi="仿宋_GB2312" w:cs="仿宋_GB2312" w:eastAsia="仿宋_GB2312"/>
        </w:rPr>
        <w:t>4、社保资金缴纳证明：有依法缴纳社会保障资金的良好记录：提供响应文件递交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w:t>
      </w:r>
    </w:p>
    <w:p>
      <w:pPr>
        <w:pStyle w:val="null3"/>
      </w:pPr>
      <w:r>
        <w:rPr>
          <w:rFonts w:ascii="仿宋_GB2312" w:hAnsi="仿宋_GB2312" w:cs="仿宋_GB2312" w:eastAsia="仿宋_GB2312"/>
        </w:rPr>
        <w:t>5、无重大违法记录声明：提供参加政府采购活动前三年内，在经营活动中没有重大违法记录的书面声明；</w:t>
      </w:r>
    </w:p>
    <w:p>
      <w:pPr>
        <w:pStyle w:val="null3"/>
      </w:pPr>
      <w:r>
        <w:rPr>
          <w:rFonts w:ascii="仿宋_GB2312" w:hAnsi="仿宋_GB2312" w:cs="仿宋_GB2312" w:eastAsia="仿宋_GB2312"/>
        </w:rPr>
        <w:t>6、具有履行合同所必需的设备和专业技术能力：提供具有履行本合同所必需的设备和专业技术能力的承诺；</w:t>
      </w:r>
    </w:p>
    <w:p>
      <w:pPr>
        <w:pStyle w:val="null3"/>
      </w:pPr>
      <w:r>
        <w:rPr>
          <w:rFonts w:ascii="仿宋_GB2312" w:hAnsi="仿宋_GB2312" w:cs="仿宋_GB2312" w:eastAsia="仿宋_GB2312"/>
        </w:rPr>
        <w:t>7、供应商应授权合法的人员参加磋商全过程：法定代表人直接参加磋商的，须出具法定代表人身份证明及身份证，法定代表人委托代理人参加磋商的，须出具法定代表人授权委托书及身份证；</w:t>
      </w:r>
    </w:p>
    <w:p>
      <w:pPr>
        <w:pStyle w:val="null3"/>
      </w:pPr>
      <w:r>
        <w:rPr>
          <w:rFonts w:ascii="仿宋_GB2312" w:hAnsi="仿宋_GB2312" w:cs="仿宋_GB2312" w:eastAsia="仿宋_GB2312"/>
        </w:rPr>
        <w:t>8、供应商信用信息：供应商不得为“信用中国”网站（www.creditchina.gov.cn）中被列入“重大税收违法失信主体”的供应商,不得为“中国执行信息公开网”网站（zxgk.court.gov.cn/）中被列入“失信被执行人”的供应商；不得为中国政府采购网（www.ccgp.gov.cn）政府采购“严重违法失信行为记录名单”中被财政部门禁止参加政府采购活动的供应商（信用记录在资格审查阶段通过互联网或者相关系统对供应商的信用情况进行甄别）；</w:t>
      </w:r>
    </w:p>
    <w:p>
      <w:pPr>
        <w:pStyle w:val="null3"/>
      </w:pPr>
      <w:r>
        <w:rPr>
          <w:rFonts w:ascii="仿宋_GB2312" w:hAnsi="仿宋_GB2312" w:cs="仿宋_GB2312" w:eastAsia="仿宋_GB2312"/>
        </w:rPr>
        <w:t>9、非联合体磋商：本项目不接受联合体磋商。单位负责人为同一人或者存在直接控股、管理关系的不同单位不得同时参加。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西安市长安区大峪灌区管理站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西安市长安区引镇街办北新街一号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029-85886387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陕西景诚项目管理有限公司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西安市高新区沣惠南路16号泰华金贸国际4号楼2203室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宋依依</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029-88228971/18629197467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左崇伟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采购包1：998,500.00元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由成交供应商在领取《成交通知书》时，一次性向招标代理机构支付。2.收费依据：以成交价作为基数，按照原《国家计委关于印发&lt;招标代理服务收费管理暂行办法&gt;的通知》（计价格[2002]1980号）及《国家发展改革委办公厅关于招标代理服务收费有关问题的通知》（发改价格[2003]857号）文件的通知标准进行计算。缴纳账户信息：开户名称：陕西景诚项目管理有限公司，开户行：西安银行股份有限公司长安西路支行，账号：515011580000149177。</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西安市长安区大峪灌区管理站</w:t>
      </w:r>
      <w:r>
        <w:rPr>
          <w:rFonts w:ascii="仿宋_GB2312" w:hAnsi="仿宋_GB2312" w:cs="仿宋_GB2312" w:eastAsia="仿宋_GB2312"/>
        </w:rPr>
        <w:t>和</w:t>
      </w:r>
      <w:r>
        <w:rPr>
          <w:rFonts w:ascii="仿宋_GB2312" w:hAnsi="仿宋_GB2312" w:cs="仿宋_GB2312" w:eastAsia="仿宋_GB2312"/>
        </w:rPr>
        <w:t>陕西景诚项目管理有限公司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西安市长安区大峪灌区管理站</w:t>
      </w:r>
      <w:r>
        <w:rPr>
          <w:rFonts w:ascii="仿宋_GB2312" w:hAnsi="仿宋_GB2312" w:cs="仿宋_GB2312" w:eastAsia="仿宋_GB2312"/>
        </w:rPr>
        <w:t>负责解释。除上述磋商文件内容，其他内容由</w:t>
      </w:r>
      <w:r>
        <w:rPr>
          <w:rFonts w:ascii="仿宋_GB2312" w:hAnsi="仿宋_GB2312" w:cs="仿宋_GB2312" w:eastAsia="仿宋_GB2312"/>
        </w:rPr>
        <w:t>陕西景诚项目管理有限公司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西安市长安区大峪灌区管理站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陕西景诚项目管理有限公司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符合国家现行规范及行业标准；（2）采购人根据合同要求进行验收，验收依据为合同文本、竞争性磋商文件、响应文件；（3）验收合格后，填写验收单，并向采购人提交所有资料，以便使用单位日后管理和维护。</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陕西景诚项目管理有限公司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陕西景诚项目管理有限公司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陕西景诚项目管理有限公司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联系人：宋依依</w:t>
      </w:r>
    </w:p>
    <w:p>
      <w:pPr>
        <w:pStyle w:val="null3"/>
      </w:pPr>
      <w:r>
        <w:rPr>
          <w:rFonts w:ascii="仿宋_GB2312" w:hAnsi="仿宋_GB2312" w:cs="仿宋_GB2312" w:eastAsia="仿宋_GB2312"/>
        </w:rPr>
        <w:t>联系电话：029-88228971</w:t>
      </w:r>
    </w:p>
    <w:p>
      <w:pPr>
        <w:pStyle w:val="null3"/>
      </w:pPr>
      <w:r>
        <w:rPr>
          <w:rFonts w:ascii="仿宋_GB2312" w:hAnsi="仿宋_GB2312" w:cs="仿宋_GB2312" w:eastAsia="仿宋_GB2312"/>
        </w:rPr>
        <w:t>地址：西安市高新区沣惠南路16号泰华金贸国际4号楼2203室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进一步做好长安区集中式饮用水水源保护工作，防范水源污染风险，切实保障人民群众饮水安全，长安区大峪、东沟、许家沟水库饮用水水源地保护划定项目，主要服务内容包括但不限于科学合理划分保护区范围，因地制宜提出保护措施，编制长安区大峪、东沟、许家沟三座水库饮用水水源保护区划分技术报告。</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998,500.00</w:t>
      </w:r>
    </w:p>
    <w:p>
      <w:pPr>
        <w:pStyle w:val="null3"/>
      </w:pPr>
      <w:r>
        <w:rPr>
          <w:rFonts w:ascii="仿宋_GB2312" w:hAnsi="仿宋_GB2312" w:cs="仿宋_GB2312" w:eastAsia="仿宋_GB2312"/>
        </w:rPr>
        <w:t>采购包最高限价（元）: 998,500.00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长安区大峪和东沟及许家沟水库饮用水水源地保护划定项目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998,500.00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标的名称：长安区大峪和东沟及许家沟水库饮用水水源地保护划定项目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b/>
              </w:rPr>
              <w:t>1、项目概况：</w:t>
            </w:r>
          </w:p>
          <w:p>
            <w:pPr>
              <w:pStyle w:val="null3"/>
              <w:ind w:firstLine="400"/>
              <w:jc w:val="both"/>
            </w:pPr>
            <w:r>
              <w:rPr>
                <w:rFonts w:ascii="仿宋_GB2312" w:hAnsi="仿宋_GB2312" w:cs="仿宋_GB2312" w:eastAsia="仿宋_GB2312"/>
                <w:sz w:val="20"/>
              </w:rPr>
              <w:t>为进一步做好长安区集中式饮用水水源保护工作，防范水源污染风险，切实保障人民群众饮水安全，长安区大峪、东沟、许家沟水库饮用水水源地保护划定项目，主要服务内容包括但不限于科学合理划分保护区范围，因地制宜提出保护措施，编制长安区大峪，许家沟，东沟三座水库饮用水水源保护区划分技术报告。</w:t>
            </w:r>
          </w:p>
          <w:p>
            <w:pPr>
              <w:pStyle w:val="null3"/>
            </w:pPr>
            <w:r>
              <w:rPr>
                <w:rFonts w:ascii="仿宋_GB2312" w:hAnsi="仿宋_GB2312" w:cs="仿宋_GB2312" w:eastAsia="仿宋_GB2312"/>
                <w:sz w:val="20"/>
                <w:b/>
              </w:rPr>
              <w:t>2、</w:t>
            </w:r>
            <w:r>
              <w:rPr>
                <w:rFonts w:ascii="仿宋_GB2312" w:hAnsi="仿宋_GB2312" w:cs="仿宋_GB2312" w:eastAsia="仿宋_GB2312"/>
                <w:sz w:val="20"/>
                <w:b/>
              </w:rPr>
              <w:t>服务内容</w:t>
            </w:r>
            <w:r>
              <w:rPr>
                <w:rFonts w:ascii="仿宋_GB2312" w:hAnsi="仿宋_GB2312" w:cs="仿宋_GB2312" w:eastAsia="仿宋_GB2312"/>
                <w:sz w:val="20"/>
                <w:b/>
              </w:rPr>
              <w:t>：</w:t>
            </w:r>
          </w:p>
          <w:p>
            <w:pPr>
              <w:pStyle w:val="null3"/>
              <w:ind w:firstLine="400"/>
            </w:pPr>
            <w:r>
              <w:rPr>
                <w:rFonts w:ascii="仿宋_GB2312" w:hAnsi="仿宋_GB2312" w:cs="仿宋_GB2312" w:eastAsia="仿宋_GB2312"/>
                <w:sz w:val="20"/>
              </w:rPr>
              <w:t>完成</w:t>
            </w:r>
            <w:r>
              <w:rPr>
                <w:rFonts w:ascii="仿宋_GB2312" w:hAnsi="仿宋_GB2312" w:cs="仿宋_GB2312" w:eastAsia="仿宋_GB2312"/>
                <w:sz w:val="20"/>
              </w:rPr>
              <w:t>长安区</w:t>
            </w:r>
            <w:r>
              <w:rPr>
                <w:rFonts w:ascii="仿宋_GB2312" w:hAnsi="仿宋_GB2312" w:cs="仿宋_GB2312" w:eastAsia="仿宋_GB2312"/>
                <w:sz w:val="20"/>
              </w:rPr>
              <w:t>大峪、东沟、许家沟水库饮用水水源地保护划定</w:t>
            </w:r>
            <w:r>
              <w:rPr>
                <w:rFonts w:ascii="仿宋_GB2312" w:hAnsi="仿宋_GB2312" w:cs="仿宋_GB2312" w:eastAsia="仿宋_GB2312"/>
                <w:sz w:val="20"/>
              </w:rPr>
              <w:t>工作，包括资料收集、整理、水库周边及上游污染源调研、地表水水质监测、报告编制、咨询评审等。</w:t>
            </w:r>
          </w:p>
          <w:p>
            <w:pPr>
              <w:pStyle w:val="null3"/>
            </w:pPr>
            <w:r>
              <w:rPr>
                <w:rFonts w:ascii="仿宋_GB2312" w:hAnsi="仿宋_GB2312" w:cs="仿宋_GB2312" w:eastAsia="仿宋_GB2312"/>
                <w:sz w:val="20"/>
                <w:b/>
              </w:rPr>
              <w:t>3、</w:t>
            </w:r>
            <w:r>
              <w:rPr>
                <w:rFonts w:ascii="仿宋_GB2312" w:hAnsi="仿宋_GB2312" w:cs="仿宋_GB2312" w:eastAsia="仿宋_GB2312"/>
                <w:sz w:val="20"/>
                <w:b/>
              </w:rPr>
              <w:t>服务</w:t>
            </w:r>
            <w:r>
              <w:rPr>
                <w:rFonts w:ascii="仿宋_GB2312" w:hAnsi="仿宋_GB2312" w:cs="仿宋_GB2312" w:eastAsia="仿宋_GB2312"/>
                <w:sz w:val="20"/>
                <w:b/>
              </w:rPr>
              <w:t>要求</w:t>
            </w:r>
            <w:r>
              <w:rPr>
                <w:rFonts w:ascii="仿宋_GB2312" w:hAnsi="仿宋_GB2312" w:cs="仿宋_GB2312" w:eastAsia="仿宋_GB2312"/>
                <w:sz w:val="20"/>
                <w:b/>
              </w:rPr>
              <w:t>：</w:t>
            </w:r>
          </w:p>
          <w:p>
            <w:pPr>
              <w:pStyle w:val="null3"/>
            </w:pPr>
            <w:r>
              <w:rPr>
                <w:rFonts w:ascii="仿宋_GB2312" w:hAnsi="仿宋_GB2312" w:cs="仿宋_GB2312" w:eastAsia="仿宋_GB2312"/>
                <w:sz w:val="20"/>
              </w:rPr>
              <w:t>（</w:t>
            </w:r>
            <w:r>
              <w:rPr>
                <w:rFonts w:ascii="仿宋_GB2312" w:hAnsi="仿宋_GB2312" w:cs="仿宋_GB2312" w:eastAsia="仿宋_GB2312"/>
                <w:sz w:val="20"/>
              </w:rPr>
              <w:t>1）资料收集、整理：调查了解大峪水库、许家沟水库及东沟水库3个水源地的区域地质概况、气候特征、水文、水库运行情况、生态环境等资料。</w:t>
            </w:r>
          </w:p>
          <w:p>
            <w:pPr>
              <w:pStyle w:val="null3"/>
            </w:pPr>
            <w:r>
              <w:rPr>
                <w:rFonts w:ascii="仿宋_GB2312" w:hAnsi="仿宋_GB2312" w:cs="仿宋_GB2312" w:eastAsia="仿宋_GB2312"/>
                <w:sz w:val="20"/>
              </w:rPr>
              <w:t>（</w:t>
            </w:r>
            <w:r>
              <w:rPr>
                <w:rFonts w:ascii="仿宋_GB2312" w:hAnsi="仿宋_GB2312" w:cs="仿宋_GB2312" w:eastAsia="仿宋_GB2312"/>
                <w:sz w:val="20"/>
              </w:rPr>
              <w:t>2）水库周边及上游污染源调研：需要对3个水库水源地上游流域范围内进行现场踏勘，水域污染类型、污染特征、污染源分布。</w:t>
            </w:r>
          </w:p>
          <w:p>
            <w:pPr>
              <w:pStyle w:val="null3"/>
            </w:pPr>
            <w:r>
              <w:rPr>
                <w:rFonts w:ascii="仿宋_GB2312" w:hAnsi="仿宋_GB2312" w:cs="仿宋_GB2312" w:eastAsia="仿宋_GB2312"/>
                <w:sz w:val="20"/>
              </w:rPr>
              <w:t>（</w:t>
            </w:r>
            <w:r>
              <w:rPr>
                <w:rFonts w:ascii="仿宋_GB2312" w:hAnsi="仿宋_GB2312" w:cs="仿宋_GB2312" w:eastAsia="仿宋_GB2312"/>
                <w:sz w:val="20"/>
              </w:rPr>
              <w:t>3）地表水水质监测：开展饮用水水源地水量、水质状况、环境管理状况调查，分析水源地存在的水量、水质和管理问题，识别水源地主要环境问题和环境风险的情况，作为保护区划分的基础资料。具体调查内容应根据拟划定保护区的水源类型和采用的保护区划分方法确定，调查深度根据保护区划分的实际需求确定，根据《陕西省水功能区划》，本次采用单项水质指标法进行评价。</w:t>
            </w:r>
            <w:r>
              <w:rPr>
                <w:rFonts w:ascii="仿宋_GB2312" w:hAnsi="仿宋_GB2312" w:cs="仿宋_GB2312" w:eastAsia="仿宋_GB2312"/>
                <w:sz w:val="20"/>
              </w:rPr>
              <w:t>每个水库采样点位需符合规范要求。</w:t>
            </w:r>
          </w:p>
          <w:p>
            <w:pPr>
              <w:pStyle w:val="null3"/>
            </w:pPr>
            <w:r>
              <w:rPr>
                <w:rFonts w:ascii="仿宋_GB2312" w:hAnsi="仿宋_GB2312" w:cs="仿宋_GB2312" w:eastAsia="仿宋_GB2312"/>
                <w:sz w:val="20"/>
              </w:rPr>
              <w:t>（</w:t>
            </w:r>
            <w:r>
              <w:rPr>
                <w:rFonts w:ascii="仿宋_GB2312" w:hAnsi="仿宋_GB2312" w:cs="仿宋_GB2312" w:eastAsia="仿宋_GB2312"/>
                <w:sz w:val="20"/>
              </w:rPr>
              <w:t>4）报告编制：根据相关标准及规范完成本次3个水库饮用水水源保护区划分报告编制工作。依据不同水源地类型、取水规模、污染源分布状况、主要污染特征、取水口所在水体(水域、区域)水文等技术资料，结合环境管理、经济活动、土地利用现状及城乡规划要求，筛选出适宜的保护区划分方法，通过计算分析，合理确定各级保护区的水域、陆域范围，并初步确定保护区边界主要拐点的经纬度坐标和边界线。</w:t>
            </w:r>
          </w:p>
          <w:p>
            <w:pPr>
              <w:pStyle w:val="null3"/>
            </w:pPr>
            <w:r>
              <w:rPr>
                <w:rFonts w:ascii="仿宋_GB2312" w:hAnsi="仿宋_GB2312" w:cs="仿宋_GB2312" w:eastAsia="仿宋_GB2312"/>
                <w:sz w:val="20"/>
              </w:rPr>
              <w:t>（</w:t>
            </w:r>
            <w:r>
              <w:rPr>
                <w:rFonts w:ascii="仿宋_GB2312" w:hAnsi="仿宋_GB2312" w:cs="仿宋_GB2312" w:eastAsia="仿宋_GB2312"/>
                <w:sz w:val="20"/>
              </w:rPr>
              <w:t>5）咨询评审：组织专家对保护区划分技术报告和方案进行审议，充分采纳专家组意见，完善划定方案和技术报告。</w:t>
            </w:r>
          </w:p>
          <w:p>
            <w:pPr>
              <w:pStyle w:val="null3"/>
            </w:pPr>
            <w:r>
              <w:rPr>
                <w:rFonts w:ascii="仿宋_GB2312" w:hAnsi="仿宋_GB2312" w:cs="仿宋_GB2312" w:eastAsia="仿宋_GB2312"/>
                <w:sz w:val="20"/>
              </w:rPr>
              <w:t>（</w:t>
            </w:r>
            <w:r>
              <w:rPr>
                <w:rFonts w:ascii="仿宋_GB2312" w:hAnsi="仿宋_GB2312" w:cs="仿宋_GB2312" w:eastAsia="仿宋_GB2312"/>
                <w:sz w:val="20"/>
              </w:rPr>
              <w:t>6）进行保护区现场定界：规范成果资料，依据划定成果对保护区现场定界、定标，最终确定主要拐点的经纬度坐标，制作饮用水水源保护区图件。</w:t>
            </w:r>
          </w:p>
          <w:p>
            <w:pPr>
              <w:pStyle w:val="null3"/>
            </w:pPr>
            <w:r>
              <w:rPr>
                <w:rFonts w:ascii="仿宋_GB2312" w:hAnsi="仿宋_GB2312" w:cs="仿宋_GB2312" w:eastAsia="仿宋_GB2312"/>
                <w:sz w:val="20"/>
                <w:b/>
              </w:rPr>
              <w:t>4</w:t>
            </w:r>
            <w:r>
              <w:rPr>
                <w:rFonts w:ascii="仿宋_GB2312" w:hAnsi="仿宋_GB2312" w:cs="仿宋_GB2312" w:eastAsia="仿宋_GB2312"/>
                <w:sz w:val="20"/>
                <w:b/>
              </w:rPr>
              <w:t>、技术标准</w:t>
            </w:r>
          </w:p>
          <w:p>
            <w:pPr>
              <w:pStyle w:val="null3"/>
            </w:pPr>
            <w:r>
              <w:rPr>
                <w:rFonts w:ascii="仿宋_GB2312" w:hAnsi="仿宋_GB2312" w:cs="仿宋_GB2312" w:eastAsia="仿宋_GB2312"/>
                <w:sz w:val="20"/>
              </w:rPr>
              <w:t>（</w:t>
            </w:r>
            <w:r>
              <w:rPr>
                <w:rFonts w:ascii="仿宋_GB2312" w:hAnsi="仿宋_GB2312" w:cs="仿宋_GB2312" w:eastAsia="仿宋_GB2312"/>
                <w:sz w:val="20"/>
              </w:rPr>
              <w:t>1）《中华人民共和国环境保护法》</w:t>
            </w:r>
            <w:r>
              <w:rPr>
                <w:rFonts w:ascii="仿宋_GB2312" w:hAnsi="仿宋_GB2312" w:cs="仿宋_GB2312" w:eastAsia="仿宋_GB2312"/>
                <w:sz w:val="20"/>
              </w:rPr>
              <w:t>；</w:t>
            </w:r>
          </w:p>
          <w:p>
            <w:pPr>
              <w:pStyle w:val="null3"/>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）《中华人民共和国水污染防治法》</w:t>
            </w:r>
            <w:r>
              <w:rPr>
                <w:rFonts w:ascii="仿宋_GB2312" w:hAnsi="仿宋_GB2312" w:cs="仿宋_GB2312" w:eastAsia="仿宋_GB2312"/>
                <w:sz w:val="20"/>
              </w:rPr>
              <w:t>；</w:t>
            </w:r>
          </w:p>
          <w:p>
            <w:pPr>
              <w:pStyle w:val="null3"/>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）《饮用水水源保护区划分技术规范》</w:t>
            </w:r>
            <w:r>
              <w:rPr>
                <w:rFonts w:ascii="仿宋_GB2312" w:hAnsi="仿宋_GB2312" w:cs="仿宋_GB2312" w:eastAsia="仿宋_GB2312"/>
                <w:sz w:val="20"/>
              </w:rPr>
              <w:t>；</w:t>
            </w:r>
          </w:p>
          <w:p>
            <w:pPr>
              <w:pStyle w:val="null3"/>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）《饮用水水源保护区污染防治管理规定》</w:t>
            </w:r>
            <w:r>
              <w:rPr>
                <w:rFonts w:ascii="仿宋_GB2312" w:hAnsi="仿宋_GB2312" w:cs="仿宋_GB2312" w:eastAsia="仿宋_GB2312"/>
                <w:sz w:val="20"/>
              </w:rPr>
              <w:t>；</w:t>
            </w:r>
          </w:p>
          <w:p>
            <w:pPr>
              <w:pStyle w:val="null3"/>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）《集中式饮用水水源地规范化建设环境保护技术要求》</w:t>
            </w:r>
            <w:r>
              <w:rPr>
                <w:rFonts w:ascii="仿宋_GB2312" w:hAnsi="仿宋_GB2312" w:cs="仿宋_GB2312" w:eastAsia="仿宋_GB2312"/>
                <w:sz w:val="20"/>
              </w:rPr>
              <w:t>；</w:t>
            </w:r>
          </w:p>
          <w:p>
            <w:pPr>
              <w:pStyle w:val="null3"/>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）《地下水环境监测技术规范》</w:t>
            </w:r>
            <w:r>
              <w:rPr>
                <w:rFonts w:ascii="仿宋_GB2312" w:hAnsi="仿宋_GB2312" w:cs="仿宋_GB2312" w:eastAsia="仿宋_GB2312"/>
                <w:sz w:val="20"/>
              </w:rPr>
              <w:t>；</w:t>
            </w:r>
          </w:p>
          <w:p>
            <w:pPr>
              <w:pStyle w:val="null3"/>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）《地表水和污水监测技术规范》</w:t>
            </w:r>
            <w:r>
              <w:rPr>
                <w:rFonts w:ascii="仿宋_GB2312" w:hAnsi="仿宋_GB2312" w:cs="仿宋_GB2312" w:eastAsia="仿宋_GB2312"/>
                <w:sz w:val="20"/>
              </w:rPr>
              <w:t>；</w:t>
            </w:r>
          </w:p>
          <w:p>
            <w:pPr>
              <w:pStyle w:val="null3"/>
            </w:pP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）《地表水环境质量标准》</w:t>
            </w:r>
            <w:r>
              <w:rPr>
                <w:rFonts w:ascii="仿宋_GB2312" w:hAnsi="仿宋_GB2312" w:cs="仿宋_GB2312" w:eastAsia="仿宋_GB2312"/>
                <w:sz w:val="20"/>
              </w:rPr>
              <w:t>；</w:t>
            </w:r>
          </w:p>
          <w:p>
            <w:pPr>
              <w:pStyle w:val="null3"/>
            </w:pPr>
            <w:r>
              <w:rPr>
                <w:rFonts w:ascii="仿宋_GB2312" w:hAnsi="仿宋_GB2312" w:cs="仿宋_GB2312" w:eastAsia="仿宋_GB2312"/>
                <w:sz w:val="20"/>
              </w:rPr>
              <w:t>（</w:t>
            </w:r>
            <w:r>
              <w:rPr>
                <w:rFonts w:ascii="仿宋_GB2312" w:hAnsi="仿宋_GB2312" w:cs="仿宋_GB2312" w:eastAsia="仿宋_GB2312"/>
                <w:sz w:val="20"/>
              </w:rPr>
              <w:t>9</w:t>
            </w:r>
            <w:r>
              <w:rPr>
                <w:rFonts w:ascii="仿宋_GB2312" w:hAnsi="仿宋_GB2312" w:cs="仿宋_GB2312" w:eastAsia="仿宋_GB2312"/>
                <w:sz w:val="20"/>
              </w:rPr>
              <w:t>）《</w:t>
            </w:r>
            <w:r>
              <w:rPr>
                <w:rFonts w:ascii="仿宋_GB2312" w:hAnsi="仿宋_GB2312" w:cs="仿宋_GB2312" w:eastAsia="仿宋_GB2312"/>
                <w:sz w:val="20"/>
              </w:rPr>
              <w:t>城市供水水质标准</w:t>
            </w:r>
            <w:r>
              <w:rPr>
                <w:rFonts w:ascii="仿宋_GB2312" w:hAnsi="仿宋_GB2312" w:cs="仿宋_GB2312" w:eastAsia="仿宋_GB2312"/>
                <w:sz w:val="20"/>
              </w:rPr>
              <w:t>》</w:t>
            </w:r>
            <w:r>
              <w:rPr>
                <w:rFonts w:ascii="仿宋_GB2312" w:hAnsi="仿宋_GB2312" w:cs="仿宋_GB2312" w:eastAsia="仿宋_GB2312"/>
                <w:sz w:val="20"/>
              </w:rPr>
              <w:t>；</w:t>
            </w:r>
          </w:p>
          <w:p>
            <w:pPr>
              <w:pStyle w:val="null3"/>
            </w:pPr>
            <w:r>
              <w:rPr>
                <w:rFonts w:ascii="仿宋_GB2312" w:hAnsi="仿宋_GB2312" w:cs="仿宋_GB2312" w:eastAsia="仿宋_GB2312"/>
                <w:sz w:val="20"/>
              </w:rPr>
              <w:t>（</w:t>
            </w:r>
            <w:r>
              <w:rPr>
                <w:rFonts w:ascii="仿宋_GB2312" w:hAnsi="仿宋_GB2312" w:cs="仿宋_GB2312" w:eastAsia="仿宋_GB2312"/>
                <w:sz w:val="20"/>
              </w:rPr>
              <w:t>10</w:t>
            </w:r>
            <w:r>
              <w:rPr>
                <w:rFonts w:ascii="仿宋_GB2312" w:hAnsi="仿宋_GB2312" w:cs="仿宋_GB2312" w:eastAsia="仿宋_GB2312"/>
                <w:sz w:val="20"/>
              </w:rPr>
              <w:t>）《生活饮用水水源水质标准》</w:t>
            </w:r>
            <w:r>
              <w:rPr>
                <w:rFonts w:ascii="仿宋_GB2312" w:hAnsi="仿宋_GB2312" w:cs="仿宋_GB2312" w:eastAsia="仿宋_GB2312"/>
                <w:sz w:val="20"/>
              </w:rPr>
              <w:t>；</w:t>
            </w:r>
          </w:p>
          <w:p>
            <w:pPr>
              <w:pStyle w:val="null3"/>
            </w:pPr>
            <w:r>
              <w:rPr>
                <w:rFonts w:ascii="仿宋_GB2312" w:hAnsi="仿宋_GB2312" w:cs="仿宋_GB2312" w:eastAsia="仿宋_GB2312"/>
                <w:sz w:val="20"/>
              </w:rPr>
              <w:t>（</w:t>
            </w:r>
            <w:r>
              <w:rPr>
                <w:rFonts w:ascii="仿宋_GB2312" w:hAnsi="仿宋_GB2312" w:cs="仿宋_GB2312" w:eastAsia="仿宋_GB2312"/>
                <w:sz w:val="20"/>
              </w:rPr>
              <w:t>11</w:t>
            </w:r>
            <w:r>
              <w:rPr>
                <w:rFonts w:ascii="仿宋_GB2312" w:hAnsi="仿宋_GB2312" w:cs="仿宋_GB2312" w:eastAsia="仿宋_GB2312"/>
                <w:sz w:val="20"/>
              </w:rPr>
              <w:t>）《陕西省城市饮用水水源保护区环境保护条例》</w:t>
            </w:r>
            <w:r>
              <w:rPr>
                <w:rFonts w:ascii="仿宋_GB2312" w:hAnsi="仿宋_GB2312" w:cs="仿宋_GB2312" w:eastAsia="仿宋_GB2312"/>
                <w:sz w:val="20"/>
              </w:rPr>
              <w:t>；</w:t>
            </w:r>
          </w:p>
          <w:p>
            <w:pPr>
              <w:pStyle w:val="null3"/>
            </w:pPr>
            <w:r>
              <w:rPr>
                <w:rFonts w:ascii="仿宋_GB2312" w:hAnsi="仿宋_GB2312" w:cs="仿宋_GB2312" w:eastAsia="仿宋_GB2312"/>
                <w:sz w:val="20"/>
              </w:rPr>
              <w:t>（</w:t>
            </w:r>
            <w:r>
              <w:rPr>
                <w:rFonts w:ascii="仿宋_GB2312" w:hAnsi="仿宋_GB2312" w:cs="仿宋_GB2312" w:eastAsia="仿宋_GB2312"/>
                <w:sz w:val="20"/>
              </w:rPr>
              <w:t>12</w:t>
            </w:r>
            <w:r>
              <w:rPr>
                <w:rFonts w:ascii="仿宋_GB2312" w:hAnsi="仿宋_GB2312" w:cs="仿宋_GB2312" w:eastAsia="仿宋_GB2312"/>
                <w:sz w:val="20"/>
              </w:rPr>
              <w:t>）其他依法应遵守的政策、法规、规划等。</w:t>
            </w:r>
          </w:p>
          <w:p>
            <w:pPr>
              <w:pStyle w:val="null3"/>
            </w:pPr>
            <w:r>
              <w:rPr>
                <w:rFonts w:ascii="仿宋_GB2312" w:hAnsi="仿宋_GB2312" w:cs="仿宋_GB2312" w:eastAsia="仿宋_GB2312"/>
                <w:sz w:val="20"/>
                <w:b/>
              </w:rPr>
              <w:t>5</w:t>
            </w:r>
            <w:r>
              <w:rPr>
                <w:rFonts w:ascii="仿宋_GB2312" w:hAnsi="仿宋_GB2312" w:cs="仿宋_GB2312" w:eastAsia="仿宋_GB2312"/>
                <w:sz w:val="20"/>
                <w:b/>
              </w:rPr>
              <w:t>、成果资料：</w:t>
            </w:r>
          </w:p>
          <w:p>
            <w:pPr>
              <w:pStyle w:val="null3"/>
            </w:pPr>
            <w:r>
              <w:rPr>
                <w:rFonts w:ascii="仿宋_GB2312" w:hAnsi="仿宋_GB2312" w:cs="仿宋_GB2312" w:eastAsia="仿宋_GB2312"/>
                <w:sz w:val="20"/>
              </w:rPr>
              <w:t>划定工作完成后，提交的</w:t>
            </w:r>
            <w:r>
              <w:rPr>
                <w:rFonts w:ascii="仿宋_GB2312" w:hAnsi="仿宋_GB2312" w:cs="仿宋_GB2312" w:eastAsia="仿宋_GB2312"/>
                <w:sz w:val="20"/>
              </w:rPr>
              <w:t>成果</w:t>
            </w:r>
            <w:r>
              <w:rPr>
                <w:rFonts w:ascii="仿宋_GB2312" w:hAnsi="仿宋_GB2312" w:cs="仿宋_GB2312" w:eastAsia="仿宋_GB2312"/>
                <w:sz w:val="20"/>
              </w:rPr>
              <w:t>资料包括：</w:t>
            </w:r>
          </w:p>
          <w:p>
            <w:pPr>
              <w:pStyle w:val="null3"/>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长安区大峪、东沟、许家沟</w:t>
            </w:r>
            <w:r>
              <w:rPr>
                <w:rFonts w:ascii="仿宋_GB2312" w:hAnsi="仿宋_GB2312" w:cs="仿宋_GB2312" w:eastAsia="仿宋_GB2312"/>
                <w:sz w:val="20"/>
              </w:rPr>
              <w:t>三座水库饮用水水源保护区</w:t>
            </w:r>
            <w:r>
              <w:rPr>
                <w:rFonts w:ascii="仿宋_GB2312" w:hAnsi="仿宋_GB2312" w:cs="仿宋_GB2312" w:eastAsia="仿宋_GB2312"/>
                <w:sz w:val="20"/>
              </w:rPr>
              <w:t>划分技术报告（含</w:t>
            </w:r>
            <w:r>
              <w:rPr>
                <w:rFonts w:ascii="仿宋_GB2312" w:hAnsi="仿宋_GB2312" w:cs="仿宋_GB2312" w:eastAsia="仿宋_GB2312"/>
                <w:sz w:val="20"/>
              </w:rPr>
              <w:t>附件、附图、附</w:t>
            </w:r>
            <w:r>
              <w:rPr>
                <w:rFonts w:ascii="仿宋_GB2312" w:hAnsi="仿宋_GB2312" w:cs="仿宋_GB2312" w:eastAsia="仿宋_GB2312"/>
                <w:sz w:val="20"/>
              </w:rPr>
              <w:t>表）等内容</w:t>
            </w:r>
            <w:r>
              <w:rPr>
                <w:rFonts w:ascii="仿宋_GB2312" w:hAnsi="仿宋_GB2312" w:cs="仿宋_GB2312" w:eastAsia="仿宋_GB2312"/>
                <w:sz w:val="20"/>
              </w:rPr>
              <w:t>；</w:t>
            </w:r>
          </w:p>
          <w:p>
            <w:pPr>
              <w:pStyle w:val="null3"/>
            </w:pPr>
            <w:r>
              <w:rPr>
                <w:rFonts w:ascii="仿宋_GB2312" w:hAnsi="仿宋_GB2312" w:cs="仿宋_GB2312" w:eastAsia="仿宋_GB2312"/>
                <w:sz w:val="20"/>
              </w:rPr>
              <w:t>（</w:t>
            </w:r>
            <w:r>
              <w:rPr>
                <w:rFonts w:ascii="仿宋_GB2312" w:hAnsi="仿宋_GB2312" w:cs="仿宋_GB2312" w:eastAsia="仿宋_GB2312"/>
                <w:sz w:val="20"/>
              </w:rPr>
              <w:t>2）根据项目需要提供的其他资料。</w:t>
            </w:r>
          </w:p>
          <w:p>
            <w:pPr>
              <w:pStyle w:val="null3"/>
            </w:pPr>
            <w:r>
              <w:rPr>
                <w:rFonts w:ascii="仿宋_GB2312" w:hAnsi="仿宋_GB2312" w:cs="仿宋_GB2312" w:eastAsia="仿宋_GB2312"/>
                <w:sz w:val="20"/>
                <w:b/>
              </w:rPr>
              <w:t>6</w:t>
            </w:r>
            <w:r>
              <w:rPr>
                <w:rFonts w:ascii="仿宋_GB2312" w:hAnsi="仿宋_GB2312" w:cs="仿宋_GB2312" w:eastAsia="仿宋_GB2312"/>
                <w:sz w:val="20"/>
                <w:b/>
              </w:rPr>
              <w:t>、其他未尽事宜按采购人及上级部门要求执行。</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0"/>
              </w:rPr>
              <w:t>商务要求：</w:t>
            </w:r>
          </w:p>
          <w:p>
            <w:pPr>
              <w:pStyle w:val="null3"/>
            </w:pPr>
            <w:r>
              <w:rPr>
                <w:rFonts w:ascii="仿宋_GB2312" w:hAnsi="仿宋_GB2312" w:cs="仿宋_GB2312" w:eastAsia="仿宋_GB2312"/>
                <w:sz w:val="20"/>
              </w:rPr>
              <w:t>1、服务期：</w:t>
            </w:r>
            <w:r>
              <w:rPr>
                <w:rFonts w:ascii="仿宋_GB2312" w:hAnsi="仿宋_GB2312" w:cs="仿宋_GB2312" w:eastAsia="仿宋_GB2312"/>
                <w:sz w:val="20"/>
              </w:rPr>
              <w:t>自合同签订之日起</w:t>
            </w:r>
            <w:r>
              <w:rPr>
                <w:rFonts w:ascii="仿宋_GB2312" w:hAnsi="仿宋_GB2312" w:cs="仿宋_GB2312" w:eastAsia="仿宋_GB2312"/>
                <w:sz w:val="20"/>
              </w:rPr>
              <w:t>60日历天</w:t>
            </w:r>
            <w:r>
              <w:rPr>
                <w:rFonts w:ascii="仿宋_GB2312" w:hAnsi="仿宋_GB2312" w:cs="仿宋_GB2312" w:eastAsia="仿宋_GB2312"/>
                <w:sz w:val="20"/>
              </w:rPr>
              <w:t>。</w:t>
            </w:r>
          </w:p>
          <w:p>
            <w:pPr>
              <w:pStyle w:val="null3"/>
            </w:pPr>
            <w:r>
              <w:rPr>
                <w:rFonts w:ascii="仿宋_GB2312" w:hAnsi="仿宋_GB2312" w:cs="仿宋_GB2312" w:eastAsia="仿宋_GB2312"/>
                <w:sz w:val="20"/>
              </w:rPr>
              <w:t>2、服务地点：采购人指定地点。</w:t>
            </w:r>
          </w:p>
          <w:p>
            <w:pPr>
              <w:pStyle w:val="null3"/>
            </w:pPr>
            <w:r>
              <w:rPr>
                <w:rFonts w:ascii="仿宋_GB2312" w:hAnsi="仿宋_GB2312" w:cs="仿宋_GB2312" w:eastAsia="仿宋_GB2312"/>
                <w:sz w:val="20"/>
              </w:rPr>
              <w:t>3、服务范围：</w:t>
            </w:r>
            <w:r>
              <w:rPr>
                <w:rFonts w:ascii="仿宋_GB2312" w:hAnsi="仿宋_GB2312" w:cs="仿宋_GB2312" w:eastAsia="仿宋_GB2312"/>
                <w:sz w:val="20"/>
              </w:rPr>
              <w:t>长安区大峪、东沟、许家沟水库饮用水水源地保护区。</w:t>
            </w:r>
          </w:p>
          <w:p>
            <w:pPr>
              <w:pStyle w:val="null3"/>
            </w:pPr>
            <w:r>
              <w:rPr>
                <w:rFonts w:ascii="仿宋_GB2312" w:hAnsi="仿宋_GB2312" w:cs="仿宋_GB2312" w:eastAsia="仿宋_GB2312"/>
                <w:sz w:val="20"/>
              </w:rPr>
              <w:t>4、服务质量：符合国家现行规范及行业标准。</w:t>
            </w:r>
          </w:p>
          <w:p>
            <w:pPr>
              <w:pStyle w:val="null3"/>
            </w:pPr>
            <w:r>
              <w:rPr>
                <w:rFonts w:ascii="仿宋_GB2312" w:hAnsi="仿宋_GB2312" w:cs="仿宋_GB2312" w:eastAsia="仿宋_GB2312"/>
                <w:sz w:val="20"/>
              </w:rPr>
              <w:t>5、付款方式：</w:t>
            </w:r>
            <w:r>
              <w:rPr>
                <w:rFonts w:ascii="仿宋_GB2312" w:hAnsi="仿宋_GB2312" w:cs="仿宋_GB2312" w:eastAsia="仿宋_GB2312"/>
                <w:sz w:val="20"/>
              </w:rPr>
              <w:t>（</w:t>
            </w:r>
            <w:r>
              <w:rPr>
                <w:rFonts w:ascii="仿宋_GB2312" w:hAnsi="仿宋_GB2312" w:cs="仿宋_GB2312" w:eastAsia="仿宋_GB2312"/>
                <w:sz w:val="20"/>
              </w:rPr>
              <w:t>1）服务期满，提交经采购人认可的成果文件后，支付合同总价款的80%；（2）经验收合格无质量问题后，支付合同尾款20%；（3）每期付款时供应商提供等额发票申请款项；</w:t>
            </w:r>
            <w:r>
              <w:rPr>
                <w:rFonts w:ascii="仿宋_GB2312" w:hAnsi="仿宋_GB2312" w:cs="仿宋_GB2312" w:eastAsia="仿宋_GB2312"/>
                <w:sz w:val="20"/>
              </w:rPr>
              <w:t>（</w:t>
            </w:r>
            <w:r>
              <w:rPr>
                <w:rFonts w:ascii="仿宋_GB2312" w:hAnsi="仿宋_GB2312" w:cs="仿宋_GB2312" w:eastAsia="仿宋_GB2312"/>
                <w:sz w:val="20"/>
              </w:rPr>
              <w:t>4）支付方式：银行转账</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5）结算方式：乙方应于甲方每次付款前向甲方开具等额发票，持服务合同、发票，与甲方结算</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6）每次付款前，乙方应向甲方提交付款申请，因乙方原因导致甲方支付延期的，甲方不承担违约责任。</w:t>
            </w:r>
          </w:p>
          <w:p>
            <w:pPr>
              <w:pStyle w:val="null3"/>
            </w:pPr>
            <w:r>
              <w:rPr>
                <w:rFonts w:ascii="仿宋_GB2312" w:hAnsi="仿宋_GB2312" w:cs="仿宋_GB2312" w:eastAsia="仿宋_GB2312"/>
                <w:sz w:val="20"/>
              </w:rPr>
              <w:t>6、验收标准：（1）符合国家现行规范及行业标准；（2）采购人根据合同要求进行验收，验收依据为合同文本、竞争性磋商文件、响应文件；（3）验收合格后，填写验收单，并向采购人提交所有资料，以便使用单位日后管理和维护。</w:t>
            </w:r>
          </w:p>
          <w:p>
            <w:pPr>
              <w:pStyle w:val="null3"/>
            </w:pPr>
            <w:r>
              <w:rPr>
                <w:rFonts w:ascii="仿宋_GB2312" w:hAnsi="仿宋_GB2312" w:cs="仿宋_GB2312" w:eastAsia="仿宋_GB2312"/>
                <w:sz w:val="20"/>
              </w:rPr>
              <w:t>备注：商务要求为实质性条款，不允许负偏离。</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根据采购文件要求及合同约定配备。</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根据采购文件要求及合同约定配备。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自合同签订之日起60日历天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成果文件提交后，成交人向采购人提出验收申请。2、由采购人、使用单位组织项目相关人员及专家按照磋商文件、投标（或响应）文件及磋商记录表、政府采购合同、技术指标及国家现行行业规范标准和文献资料进行验收，各项指标均应符合验收标准及要求。3、经采购人与供应商共同验收，并出具验收结果和意见，供应商负责向验收组提交验收所需文件和相关资料等，验收过程中所产生的费用由供应商承担。4、提供的相关服务均应符合本项目采购需求、政府采购合同等约定，并符合国家或行业相关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服务期满，提交经采购人认可的成果文件后，供应商提供等额发票申请款项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经验收合格无质量问题后，供应商提供等额发票申请款项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2、未按合同要求提供服务或服务质量不能满足技术要求及合同要求，采购人应当将供应商违约情况以及拟采取的措施以书面形式报政府采购监管部门，根据政府采购监管部门的处理意见，采购人有权依据《中华人民共和国民法典》有关条款及合同约定终止合同，并要求供应商承担违约责任。同时，政府采购监管部门有权依据《中华人民共和国政府采购法》及相关法律法规对供应商的违约行为进行相应的处罚。3、合同争议的最终解决方式为向项目所在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的磋商报价应是为完成本项目磋商文件中所提出的服务范围及要求的全部工作内容的价格体现，包括供应商完成本项目所需的直接费、间接费、利润、税金及其它相关的一切费用。包括但不限于：人工费、设备费、管理费、验收费、利润和税金等全部费用。在提供服务的过程中的任何遗漏，均由成交供应商免费提供，采购人将不再支付任何费用。2、项目类型：服务。3、本项目所属行业为：其他未列明行业。从业人员300人以下的为中小微型企业。其中，从业人员100人及以上的为中型企业；从业人员10人及以上的为小型企业；从业人员10人以下的为微型企业。 4、特别强调：本项目标的名称为“长安区大峪和东沟及许家沟水库饮用水水源地保护划定项目”。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供应商具有良好的商业信誉和健全的财务会计制度；</w:t>
            </w:r>
          </w:p>
        </w:tc>
        <w:tc>
          <w:tcPr>
            <w:tcW w:type="dxa" w:w="3322"/>
          </w:tcPr>
          <w:p>
            <w:pPr>
              <w:pStyle w:val="null3"/>
            </w:pPr>
            <w:r>
              <w:rPr>
                <w:rFonts w:ascii="仿宋_GB2312" w:hAnsi="仿宋_GB2312" w:cs="仿宋_GB2312" w:eastAsia="仿宋_GB2312"/>
              </w:rPr>
              <w:t>提供2024年度或2025年度经审计的财务会计报告（至少包括审计报告、资产负债表和利润表，成立时间至响应文件递交截止时间不足一年的可提供成立后任意时段的资产负债表）或提供响应文件递交截止时间前三个月内其基本账户开户银行出具的资信证明（附基本存款账户信息），以上形式的证明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供应商资格证明文件</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供应商具有独立承担民事责任的能力</w:t>
            </w:r>
          </w:p>
        </w:tc>
        <w:tc>
          <w:tcPr>
            <w:tcW w:type="dxa" w:w="3322"/>
          </w:tcPr>
          <w:p>
            <w:pPr>
              <w:pStyle w:val="null3"/>
            </w:pPr>
            <w:r>
              <w:rPr>
                <w:rFonts w:ascii="仿宋_GB2312" w:hAnsi="仿宋_GB2312" w:cs="仿宋_GB2312" w:eastAsia="仿宋_GB2312"/>
              </w:rPr>
              <w:t>供应商具有独立承担民事责任的能力：提供合格有效的法人或者其他组织的营业执照、事业单位法人证等证明文件或自然人的身份证明；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具有良好的商业信誉和健全的财务会计制度：提供2024年度或2025年度经审计的财务会计报告（至少包括审计报告、资产负债表和利润表，成立时间至响应文件递交截止时间不足一年的可提供成立后任意时段的资产负债表）或提供响应文件递交截止时间前三个月内其基本账户开户银行出具的资信证明（附基本存款账户信息），以上形式的证明资料提供任何一种即可；</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有依法缴纳税收的良好记录：提供响应文件递交截止时间前一年内至少一个月的纳税证明或完税证明（增值税、营业税、企业所得税至少提供一种），纳税证明或完税证明上应有代收机构或税务机关的公章或业务专用章。依法免税的单位应提供相关证明材料；</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社保资金缴纳证明</w:t>
            </w:r>
          </w:p>
        </w:tc>
        <w:tc>
          <w:tcPr>
            <w:tcW w:type="dxa" w:w="3322"/>
          </w:tcPr>
          <w:p>
            <w:pPr>
              <w:pStyle w:val="null3"/>
            </w:pPr>
            <w:r>
              <w:rPr>
                <w:rFonts w:ascii="仿宋_GB2312" w:hAnsi="仿宋_GB2312" w:cs="仿宋_GB2312" w:eastAsia="仿宋_GB2312"/>
              </w:rPr>
              <w:t>有依法缴纳社会保障资金的良好记录：提供响应文件递交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法定代表人直接参加磋商的，须出具法定代表人身份证明及身份证，法定代表人委托代理人参加磋商的，须出具法定代表人授权委托书及身份证；</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供应商信用信息</w:t>
            </w:r>
          </w:p>
        </w:tc>
        <w:tc>
          <w:tcPr>
            <w:tcW w:type="dxa" w:w="3322"/>
          </w:tcPr>
          <w:p>
            <w:pPr>
              <w:pStyle w:val="null3"/>
            </w:pPr>
            <w:r>
              <w:rPr>
                <w:rFonts w:ascii="仿宋_GB2312" w:hAnsi="仿宋_GB2312" w:cs="仿宋_GB2312" w:eastAsia="仿宋_GB2312"/>
              </w:rPr>
              <w:t>供应商不得为“信用中国”网站（www.creditchina.gov.cn）中被列入“重大税收违法失信主体”的供应商,不得为“中国执行信息公开网”网站（zxgk.court.gov.cn/）中被列入“失信被执行人”的供应商；不得为中国政府采购网（www.ccgp.gov.cn）政府采购“严重违法失信行为记录名单”中被财政部门禁止参加政府采购活动的供应商（信用记录在资格审查阶段通过互联网或者相关系统对供应商的信用情况进行甄别）；</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本项目不接受联合体磋商。单位负责人为同一人或者存在直接控股、管理关系的不同单位不得同时参加。</w:t>
            </w:r>
          </w:p>
        </w:tc>
        <w:tc>
          <w:tcPr>
            <w:tcW w:type="dxa" w:w="1661"/>
          </w:tcPr>
          <w:p>
            <w:pPr>
              <w:pStyle w:val="null3"/>
            </w:pPr>
            <w:r>
              <w:rPr>
                <w:rFonts w:ascii="仿宋_GB2312" w:hAnsi="仿宋_GB2312" w:cs="仿宋_GB2312" w:eastAsia="仿宋_GB2312"/>
              </w:rPr>
              <w:t>供应商资格证明文件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分项报价表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至少以下三处的项目名称、项目编号、合同包（未分合同包的除外）与本项目完全一致：（1）响应文件封面；（2）投标（响应）函；（3）法定代表人（单位负责人）授权委托书\身份证明。</w:t>
            </w:r>
          </w:p>
        </w:tc>
        <w:tc>
          <w:tcPr>
            <w:tcW w:type="dxa" w:w="1661"/>
          </w:tcPr>
          <w:p>
            <w:pPr>
              <w:pStyle w:val="null3"/>
            </w:pPr>
            <w:r>
              <w:rPr>
                <w:rFonts w:ascii="仿宋_GB2312" w:hAnsi="仿宋_GB2312" w:cs="仿宋_GB2312" w:eastAsia="仿宋_GB2312"/>
              </w:rPr>
              <w:t>响应文件封面 商务要求偏离表 技术要求偏离表 中小企业声明函 残疾人福利性单位声明函 服务方案 标的清单 供应商承诺书 响应函 监狱企业的证明文件 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响应文件封面 商务要求偏离表 技术要求偏离表 分项报价表 中小企业声明函 残疾人福利性单位声明函 服务方案 标的清单 供应商承诺书 响应函 监狱企业的证明文件 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商务要求偏离表 响应文件封面 技术要求偏离表 分项报价表 中小企业声明函 残疾人福利性单位声明函 服务方案 标的清单 供应商承诺书 响应函 监狱企业的证明文件 供应商资格证明文件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报价唯一，且没有高于采购预算或磋商文件规定的最高限价</w:t>
            </w:r>
          </w:p>
        </w:tc>
        <w:tc>
          <w:tcPr>
            <w:tcW w:type="dxa" w:w="1661"/>
          </w:tcPr>
          <w:p>
            <w:pPr>
              <w:pStyle w:val="null3"/>
            </w:pPr>
            <w:r>
              <w:rPr>
                <w:rFonts w:ascii="仿宋_GB2312" w:hAnsi="仿宋_GB2312" w:cs="仿宋_GB2312" w:eastAsia="仿宋_GB2312"/>
              </w:rPr>
              <w:t>响应文件封面 分项报价表 标的清单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磋商有效期满足竞争性磋商文件的要求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完全理解并响应采购文件合同条款的要求，且未含有采购人不能接受的附加条件的。</w:t>
            </w:r>
          </w:p>
        </w:tc>
        <w:tc>
          <w:tcPr>
            <w:tcW w:type="dxa" w:w="1661"/>
          </w:tcPr>
          <w:p>
            <w:pPr>
              <w:pStyle w:val="null3"/>
            </w:pPr>
            <w:r>
              <w:rPr>
                <w:rFonts w:ascii="仿宋_GB2312" w:hAnsi="仿宋_GB2312" w:cs="仿宋_GB2312" w:eastAsia="仿宋_GB2312"/>
              </w:rPr>
              <w:t>响应文件封面 商务要求偏离表 技术要求偏离表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服务期、服务地点、服务质量</w:t>
            </w:r>
          </w:p>
        </w:tc>
        <w:tc>
          <w:tcPr>
            <w:tcW w:type="dxa" w:w="3322"/>
          </w:tcPr>
          <w:p>
            <w:pPr>
              <w:pStyle w:val="null3"/>
            </w:pPr>
            <w:r>
              <w:rPr>
                <w:rFonts w:ascii="仿宋_GB2312" w:hAnsi="仿宋_GB2312" w:cs="仿宋_GB2312" w:eastAsia="仿宋_GB2312"/>
              </w:rPr>
              <w:t>满足竞争性磋商文件的要求</w:t>
            </w:r>
          </w:p>
        </w:tc>
        <w:tc>
          <w:tcPr>
            <w:tcW w:type="dxa" w:w="1661"/>
          </w:tcPr>
          <w:p>
            <w:pPr>
              <w:pStyle w:val="null3"/>
            </w:pPr>
            <w:r>
              <w:rPr>
                <w:rFonts w:ascii="仿宋_GB2312" w:hAnsi="仿宋_GB2312" w:cs="仿宋_GB2312" w:eastAsia="仿宋_GB2312"/>
              </w:rPr>
              <w:t>商务要求偏离表 技术要求偏离表 服务方案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符合法律、法规和竞争性磋商中规定的其他实质性要求</w:t>
            </w:r>
          </w:p>
        </w:tc>
        <w:tc>
          <w:tcPr>
            <w:tcW w:type="dxa" w:w="3322"/>
          </w:tcPr>
          <w:p>
            <w:pPr>
              <w:pStyle w:val="null3"/>
            </w:pPr>
            <w:r>
              <w:rPr>
                <w:rFonts w:ascii="仿宋_GB2312" w:hAnsi="仿宋_GB2312" w:cs="仿宋_GB2312" w:eastAsia="仿宋_GB2312"/>
              </w:rPr>
              <w:t>是否符合法律、法规和竞争性磋商文件中规定的其他实质性要求</w:t>
            </w:r>
          </w:p>
        </w:tc>
        <w:tc>
          <w:tcPr>
            <w:tcW w:type="dxa" w:w="1661"/>
          </w:tcPr>
          <w:p>
            <w:pPr>
              <w:pStyle w:val="null3"/>
            </w:pPr>
            <w:r>
              <w:rPr>
                <w:rFonts w:ascii="仿宋_GB2312" w:hAnsi="仿宋_GB2312" w:cs="仿宋_GB2312" w:eastAsia="仿宋_GB2312"/>
              </w:rPr>
              <w:t>响应文件封面 商务要求偏离表 技术要求偏离表 分项报价表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对本项目的理解与认识</w:t>
            </w:r>
          </w:p>
        </w:tc>
        <w:tc>
          <w:tcPr>
            <w:tcW w:type="dxa" w:w="2492"/>
          </w:tcPr>
          <w:p>
            <w:pPr>
              <w:pStyle w:val="null3"/>
            </w:pPr>
            <w:r>
              <w:rPr>
                <w:rFonts w:ascii="仿宋_GB2312" w:hAnsi="仿宋_GB2312" w:cs="仿宋_GB2312" w:eastAsia="仿宋_GB2312"/>
              </w:rPr>
              <w:t>供应商针对本项目工作的理解与认识，内容包含：①对项目内容、任务、目标的理解与认识；②对任务区地理、气候及其他相关因素的认识与理解；③对主要技术依据文件、技术指标要求、成果规格要求的认识与理解。评审小组根据各供应商提供内容的完整性、可实施性及针对性等方面进行评审，每小项计1-3分，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服务方案（对本项目思路方法是否科学、合理、全面）</w:t>
            </w:r>
          </w:p>
        </w:tc>
        <w:tc>
          <w:tcPr>
            <w:tcW w:type="dxa" w:w="2492"/>
          </w:tcPr>
          <w:p>
            <w:pPr>
              <w:pStyle w:val="null3"/>
            </w:pPr>
            <w:r>
              <w:rPr>
                <w:rFonts w:ascii="仿宋_GB2312" w:hAnsi="仿宋_GB2312" w:cs="仿宋_GB2312" w:eastAsia="仿宋_GB2312"/>
              </w:rPr>
              <w:t>供应商针对本项目的服务方案及内容，内容包含：①前期准备；②外业调查；③内业分析；④成果编制；⑤审核提交。评审小组根据各供应商提供内容的完整性、可实施性及针对性等方面进行评审，每小项计1-3分，未提供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编制范围及主要内容</w:t>
            </w:r>
          </w:p>
        </w:tc>
        <w:tc>
          <w:tcPr>
            <w:tcW w:type="dxa" w:w="2492"/>
          </w:tcPr>
          <w:p>
            <w:pPr>
              <w:pStyle w:val="null3"/>
            </w:pPr>
            <w:r>
              <w:rPr>
                <w:rFonts w:ascii="仿宋_GB2312" w:hAnsi="仿宋_GB2312" w:cs="仿宋_GB2312" w:eastAsia="仿宋_GB2312"/>
              </w:rPr>
              <w:t>供应商针对本项目的编制范围及内容，内容包含：①编制范围；②编制框架；③编制内容。评审小组根据各供应商提供内容的完整性、可实施性及针对性等方面进行评审，每小项计1-3分，未提供得0分。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项目重点、难点分析及应对措施</w:t>
            </w:r>
          </w:p>
        </w:tc>
        <w:tc>
          <w:tcPr>
            <w:tcW w:type="dxa" w:w="2492"/>
          </w:tcPr>
          <w:p>
            <w:pPr>
              <w:pStyle w:val="null3"/>
            </w:pPr>
            <w:r>
              <w:rPr>
                <w:rFonts w:ascii="仿宋_GB2312" w:hAnsi="仿宋_GB2312" w:cs="仿宋_GB2312" w:eastAsia="仿宋_GB2312"/>
              </w:rPr>
              <w:t>供应商对本项目项目重点、难点分析及应对措施，内容包含：①项目特点、关键技术问题的认识；②项目重点、难点分析；③重点、难点应对措施。评审小组根据各供应商提供内容的完整性、可实施性及针对性等方面进行评审，每小项计1-3分，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工作进度计划及保障措施</w:t>
            </w:r>
          </w:p>
        </w:tc>
        <w:tc>
          <w:tcPr>
            <w:tcW w:type="dxa" w:w="2492"/>
          </w:tcPr>
          <w:p>
            <w:pPr>
              <w:pStyle w:val="null3"/>
            </w:pPr>
            <w:r>
              <w:rPr>
                <w:rFonts w:ascii="仿宋_GB2312" w:hAnsi="仿宋_GB2312" w:cs="仿宋_GB2312" w:eastAsia="仿宋_GB2312"/>
              </w:rPr>
              <w:t>供应商针对本项目工作进度计划及保证措施，内容包含：①工作进度计划；②进度保障措施。评审小组根据各供应商提供内容的完整性、可实施性及针对性等方面进行评审，每小项计1-3分，未提供得0分。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供应商针对本项目提出的质量保障措施，内容包含：①质量控制与质量检查；②质量管理制度；③质量管理体系与职责。评审小组根据各供应商提供内容的完整性、可实施性及针对性等方面进行评审，每小项计1-3分，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供应商针对本项目特点提出的应急保障措施，内容包含：①应急预案（含水源污染风险）；②应急管理方案；③应急保障措施。评审小组根据各供应商提供内容的完整性、可实施性及针对性等方面进行评审，每小项计1-2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供应商针对本项目提出的安全保障措施，内容包含：①项目可能涉及的安全风险评估；②安全管理制度；③安全保障措施。评审小组根据各供应商提供内容的完整性、可实施性及针对性等方面进行评审，每小项计1-2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供应商针对本项目组织机构，内容包含：①项目管理机构配备计划；②组织机构岗位职责；③团队人员配备情况（专业配备、专业分工、机构健全等）。评审小组根据各供应商提供内容的完整性、可实施性及针对性等方面进行评审，每小项计1-2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拟派人员配备</w:t>
            </w:r>
          </w:p>
        </w:tc>
        <w:tc>
          <w:tcPr>
            <w:tcW w:type="dxa" w:w="2492"/>
          </w:tcPr>
          <w:p>
            <w:pPr>
              <w:pStyle w:val="null3"/>
            </w:pPr>
            <w:r>
              <w:rPr>
                <w:rFonts w:ascii="仿宋_GB2312" w:hAnsi="仿宋_GB2312" w:cs="仿宋_GB2312" w:eastAsia="仿宋_GB2312"/>
              </w:rPr>
              <w:t>评审小组根据供应商拟配备项目人员数量、职称、专业等方面进行评审。项目人员组成中，每提供一名具有水利相关专业高级及以上技术职称人员得1分；每提供一名具有水利相关专业中级职称人员得0.5分。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供应商提供2023年1月1日至今（以合同签订时间为准）实施的类似项目业绩，每提供一项业绩得2分，最高得6分。 备注：以供应商提供类似项目合同复印件或扫描件为准，未提供不计分。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竞争性磋商响应文件，其磋商报价为有效磋商报价。2.满足磋商文件要求且最后报价最低的供应商的价格为磋商基准价，其价格得分为满分。其他供应商的价格得分统一按照下列公式计算：磋商报价得分=（磋商基准价/最后磋商报价）×价格权值（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分项报价表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详见附件：技术要求偏离表</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详见附件：商务要求偏离表</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