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版本号：JXZB2026-01220260331001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长安区X105半引路县乡公路改建工程初步设计、施工图设计服务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JXZB2026-012</w:t>
      </w:r>
      <w:r>
        <w:br/>
      </w:r>
      <w:r>
        <w:br/>
      </w:r>
      <w:r>
        <w:br/>
      </w:r>
    </w:p>
    <w:p>
      <w:pPr>
        <w:pStyle w:val="null3"/>
        <w:jc w:val="center"/>
        <w:outlineLvl w:val="2"/>
      </w:pPr>
      <w:r>
        <w:rPr>
          <w:rFonts w:ascii="仿宋_GB2312" w:hAnsi="仿宋_GB2312" w:cs="仿宋_GB2312" w:eastAsia="仿宋_GB2312"/>
          <w:sz w:val="28"/>
          <w:b/>
        </w:rPr>
        <w:t>西安市长安区交通运输局</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西安市长安区交通运输局</w:t>
      </w:r>
      <w:r>
        <w:rPr>
          <w:rFonts w:ascii="仿宋_GB2312" w:hAnsi="仿宋_GB2312" w:cs="仿宋_GB2312" w:eastAsia="仿宋_GB2312"/>
        </w:rPr>
        <w:t>委托，拟对</w:t>
      </w:r>
      <w:r>
        <w:rPr>
          <w:rFonts w:ascii="仿宋_GB2312" w:hAnsi="仿宋_GB2312" w:cs="仿宋_GB2312" w:eastAsia="仿宋_GB2312"/>
        </w:rPr>
        <w:t>长安区X105半引路县乡公路改建工程初步设计、施工图设计服务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长安区X105半引路县乡公路改建工程初步设计、施工图设计服务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本次设计起点位于长安灞桥界的王乐村，起点桩号 K6+688，终点位于引镇街道接现状旧路，终点桩号 K20+522，设计里程长13.043公里（不含团结桥南至终南大道共线K13+545～K14+336 水泥路段，本次完全利用）。采用三级公路技术指标，除终南大道共线段（K14+336～K14+716）维持现状宽度19.0m外，鸣犊街道段（K14+716～K15+682）路段路基宽度加宽至12.0m，其余路段路基宽度采用8.5m，路面宽度8.0m，主要建设内容包括路基工程、路面工程、桥涵工程以及其他辅助设施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采购包1（长安区X105半引路县乡公路改建工程初步设计、施工图设计服务）：属于专门面向中小企业采购。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2、资质：供应商具备资质：工程设计综合甲级资质或工程设计公路行业甲级资质或工程设计公路行业（公路）专业乙级及以上资质。</w:t>
      </w:r>
    </w:p>
    <w:p>
      <w:pPr>
        <w:pStyle w:val="null3"/>
      </w:pPr>
      <w:r>
        <w:rPr>
          <w:rFonts w:ascii="仿宋_GB2312" w:hAnsi="仿宋_GB2312" w:cs="仿宋_GB2312" w:eastAsia="仿宋_GB2312"/>
        </w:rPr>
        <w:t>3、项目负责人：供应商拟派项目负责人具备公路工程相关专业高级工程师或以上职称，且在本单位任职（提供相应证明材料）</w:t>
      </w:r>
    </w:p>
    <w:p>
      <w:pPr>
        <w:pStyle w:val="null3"/>
      </w:pPr>
      <w:r>
        <w:rPr>
          <w:rFonts w:ascii="仿宋_GB2312" w:hAnsi="仿宋_GB2312" w:cs="仿宋_GB2312" w:eastAsia="仿宋_GB2312"/>
        </w:rPr>
        <w:t>4、财务状况报告：提供2024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5、书面声明：提供书面声明，包括声明具有履行合同所必需的设备和专业技术能力。</w:t>
      </w:r>
    </w:p>
    <w:p>
      <w:pPr>
        <w:pStyle w:val="null3"/>
      </w:pPr>
      <w:r>
        <w:rPr>
          <w:rFonts w:ascii="仿宋_GB2312" w:hAnsi="仿宋_GB2312" w:cs="仿宋_GB2312" w:eastAsia="仿宋_GB2312"/>
        </w:rPr>
        <w:t>6、社保缴纳证明：提供递交响应文件截止之日前一年内任意一个月的社会保障资金缴存单据或社保机构开具的社会保险参保缴费情况证明。依法不需要缴纳社会保障资金的供应商应提供相关文件证明。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7、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8、近三年无重大违法、违纪书面声明：提供《近三年无重大违法、违纪书面声明》。</w:t>
      </w:r>
    </w:p>
    <w:p>
      <w:pPr>
        <w:pStyle w:val="null3"/>
      </w:pPr>
      <w:r>
        <w:rPr>
          <w:rFonts w:ascii="仿宋_GB2312" w:hAnsi="仿宋_GB2312" w:cs="仿宋_GB2312" w:eastAsia="仿宋_GB2312"/>
        </w:rPr>
        <w:t>9、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11、法定代表人授权委托书：法定代表人参加磋商的，须提供本人身份证复印件（附在资格证明文件中）；法定代表人授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12、本项目不接受联合体磋商，不允许分包：供应商应提供《非联合体不分包磋商声明》，视为独立磋商，不分包。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长安区青年街42号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刘佩清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029-85284464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西安曲江新区雁南五路1868号1幢11903室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13363975919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代理服务费收费标准：招标代理服务费的收取按照国家计委颁布的《招标代理服务收费管理暂行办法》（计价格[2002]1980号）和（发改办价格[2003]857号）中服务类收费标准收取。 确定成交人后3日内由成交人一次性支付给采购代理机构。 招标代理服务费收款账户信息： 开户名称：嘉翔项目管理有限公司 开户行名称：中国建设银行股份有限公司西安八里村支行 账号：61050172370000000288 转账附言：“项目编号”代理服务费。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西安市长安区交通运输局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联系电话：13363975919</w:t>
      </w:r>
    </w:p>
    <w:p>
      <w:pPr>
        <w:pStyle w:val="null3"/>
      </w:pPr>
      <w:r>
        <w:rPr>
          <w:rFonts w:ascii="仿宋_GB2312" w:hAnsi="仿宋_GB2312" w:cs="仿宋_GB2312" w:eastAsia="仿宋_GB2312"/>
        </w:rPr>
        <w:t>地址：西安曲江新区雁南五路1868号1幢11903室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本次设计起点位于长安灞桥界的王乐村，起点桩号 K6+688，终点位于引镇街道接现状旧路，终点桩号 K20+522，设计里程长13.043公里（不含团结桥南至终南大道共线K13+545～K14+336 水泥路段，本次完全利用）。采用三级公路技术指标，除终南大道共线段（K14+336～K14+716）维持现状宽度19.0m外，鸣犊街道段（K14+716～K15+682）路段路基宽度加宽至12.0m，其余路段路基宽度采用8.5m，路面宽度8.0m，主要建设内容包括路基工程、路面工程、桥涵工程以及其他辅助设施工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初步设计及施工图设计服务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标的名称：初步设计及施工图设计服务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05"/>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ind w:firstLine="480"/>
            </w:pPr>
            <w:r>
              <w:rPr>
                <w:rFonts w:ascii="仿宋_GB2312" w:hAnsi="仿宋_GB2312" w:cs="仿宋_GB2312" w:eastAsia="仿宋_GB2312"/>
              </w:rPr>
              <w:t>对长安区</w:t>
            </w:r>
            <w:r>
              <w:rPr>
                <w:rFonts w:ascii="仿宋_GB2312" w:hAnsi="仿宋_GB2312" w:cs="仿宋_GB2312" w:eastAsia="仿宋_GB2312"/>
              </w:rPr>
              <w:t>X105半引路县乡公路改建工程，进行初步设计、施工图设计</w:t>
            </w:r>
            <w:r>
              <w:rPr>
                <w:rFonts w:ascii="仿宋_GB2312" w:hAnsi="仿宋_GB2312" w:cs="仿宋_GB2312" w:eastAsia="仿宋_GB2312"/>
              </w:rPr>
              <w:t>、</w:t>
            </w:r>
            <w:r>
              <w:rPr>
                <w:rFonts w:ascii="仿宋_GB2312" w:hAnsi="仿宋_GB2312" w:cs="仿宋_GB2312" w:eastAsia="仿宋_GB2312"/>
              </w:rPr>
              <w:t>预算编制</w:t>
            </w:r>
            <w:r>
              <w:rPr>
                <w:rFonts w:ascii="仿宋_GB2312" w:hAnsi="仿宋_GB2312" w:cs="仿宋_GB2312" w:eastAsia="仿宋_GB2312"/>
              </w:rPr>
              <w:t>及相关服务，直至项目竣工验收</w:t>
            </w:r>
            <w:r>
              <w:rPr>
                <w:rFonts w:ascii="仿宋_GB2312" w:hAnsi="仿宋_GB2312" w:cs="仿宋_GB2312" w:eastAsia="仿宋_GB2312"/>
              </w:rPr>
              <w:t>，满足相关技术规范标准。</w:t>
            </w:r>
          </w:p>
          <w:p>
            <w:pPr>
              <w:pStyle w:val="null3"/>
              <w:spacing w:after="105"/>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项目</w:t>
            </w:r>
            <w:r>
              <w:rPr>
                <w:rFonts w:ascii="仿宋_GB2312" w:hAnsi="仿宋_GB2312" w:cs="仿宋_GB2312" w:eastAsia="仿宋_GB2312"/>
                <w:sz w:val="24"/>
                <w:b/>
              </w:rPr>
              <w:t>要求</w:t>
            </w:r>
          </w:p>
          <w:p>
            <w:pPr>
              <w:pStyle w:val="null3"/>
              <w:ind w:firstLine="480"/>
            </w:pPr>
            <w:r>
              <w:rPr>
                <w:rFonts w:ascii="仿宋_GB2312" w:hAnsi="仿宋_GB2312" w:cs="仿宋_GB2312" w:eastAsia="仿宋_GB2312"/>
              </w:rPr>
              <w:t>1.</w:t>
            </w:r>
            <w:r>
              <w:rPr>
                <w:rFonts w:ascii="仿宋_GB2312" w:hAnsi="仿宋_GB2312" w:cs="仿宋_GB2312" w:eastAsia="仿宋_GB2312"/>
              </w:rPr>
              <w:t>所有成果文件必须符合国家相关规范、标准及采购人要求。</w:t>
            </w:r>
          </w:p>
          <w:p>
            <w:pPr>
              <w:pStyle w:val="null3"/>
              <w:ind w:firstLine="480"/>
            </w:pPr>
            <w:r>
              <w:rPr>
                <w:rFonts w:ascii="仿宋_GB2312" w:hAnsi="仿宋_GB2312" w:cs="仿宋_GB2312" w:eastAsia="仿宋_GB2312"/>
              </w:rPr>
              <w:t>2.</w:t>
            </w:r>
            <w:r>
              <w:rPr>
                <w:rFonts w:ascii="仿宋_GB2312" w:hAnsi="仿宋_GB2312" w:cs="仿宋_GB2312" w:eastAsia="仿宋_GB2312"/>
              </w:rPr>
              <w:t>设计要求：</w:t>
            </w:r>
          </w:p>
          <w:p>
            <w:pPr>
              <w:pStyle w:val="null3"/>
              <w:ind w:firstLine="480"/>
            </w:pPr>
            <w:r>
              <w:rPr>
                <w:rFonts w:ascii="仿宋_GB2312" w:hAnsi="仿宋_GB2312" w:cs="仿宋_GB2312" w:eastAsia="仿宋_GB2312"/>
              </w:rPr>
              <w:t>（</w:t>
            </w:r>
            <w:r>
              <w:rPr>
                <w:rFonts w:ascii="仿宋_GB2312" w:hAnsi="仿宋_GB2312" w:cs="仿宋_GB2312" w:eastAsia="仿宋_GB2312"/>
              </w:rPr>
              <w:t>1）进行初步设计、施工图设计及预算编制，按采购人的需求进行设计。</w:t>
            </w:r>
          </w:p>
          <w:p>
            <w:pPr>
              <w:pStyle w:val="null3"/>
              <w:ind w:firstLine="480"/>
            </w:pPr>
            <w:r>
              <w:rPr>
                <w:rFonts w:ascii="仿宋_GB2312" w:hAnsi="仿宋_GB2312" w:cs="仿宋_GB2312" w:eastAsia="仿宋_GB2312"/>
              </w:rPr>
              <w:t>（</w:t>
            </w:r>
            <w:r>
              <w:rPr>
                <w:rFonts w:ascii="仿宋_GB2312" w:hAnsi="仿宋_GB2312" w:cs="仿宋_GB2312" w:eastAsia="仿宋_GB2312"/>
              </w:rPr>
              <w:t>2）对采购人的审核修改意见进行修改、完善，保证其设计意图的最终实现。</w:t>
            </w:r>
          </w:p>
          <w:p>
            <w:pPr>
              <w:pStyle w:val="null3"/>
              <w:ind w:firstLine="480"/>
            </w:pPr>
            <w:r>
              <w:rPr>
                <w:rFonts w:ascii="仿宋_GB2312" w:hAnsi="仿宋_GB2312" w:cs="仿宋_GB2312" w:eastAsia="仿宋_GB2312"/>
              </w:rPr>
              <w:t>（</w:t>
            </w:r>
            <w:r>
              <w:rPr>
                <w:rFonts w:ascii="仿宋_GB2312" w:hAnsi="仿宋_GB2312" w:cs="仿宋_GB2312" w:eastAsia="仿宋_GB2312"/>
              </w:rPr>
              <w:t>3）根据项目建设进度要求及时提供各阶段报审图纸，协助采购人进行报审及批复工作，根据审查结果进行修改调整，直至审查通过，并最终向采购人提交正式的设计文件。</w:t>
            </w:r>
          </w:p>
          <w:p>
            <w:pPr>
              <w:pStyle w:val="null3"/>
              <w:ind w:firstLine="480"/>
            </w:pPr>
            <w:r>
              <w:rPr>
                <w:rFonts w:ascii="仿宋_GB2312" w:hAnsi="仿宋_GB2312" w:cs="仿宋_GB2312" w:eastAsia="仿宋_GB2312"/>
              </w:rPr>
              <w:t>（</w:t>
            </w:r>
            <w:r>
              <w:rPr>
                <w:rFonts w:ascii="仿宋_GB2312" w:hAnsi="仿宋_GB2312" w:cs="仿宋_GB2312" w:eastAsia="仿宋_GB2312"/>
              </w:rPr>
              <w:t>4）根据采购人要求，及时参加与设计有关的专题会，现场解决技术问题。</w:t>
            </w:r>
          </w:p>
          <w:p>
            <w:pPr>
              <w:pStyle w:val="null3"/>
              <w:ind w:firstLine="480"/>
            </w:pPr>
            <w:r>
              <w:rPr>
                <w:rFonts w:ascii="仿宋_GB2312" w:hAnsi="仿宋_GB2312" w:cs="仿宋_GB2312" w:eastAsia="仿宋_GB2312"/>
              </w:rPr>
              <w:t>（</w:t>
            </w:r>
            <w:r>
              <w:rPr>
                <w:rFonts w:ascii="仿宋_GB2312" w:hAnsi="仿宋_GB2312" w:cs="仿宋_GB2312" w:eastAsia="仿宋_GB2312"/>
              </w:rPr>
              <w:t>5）提交的设计文件应符合现行规程、规范等要求，并应通过相关部门的审查。</w:t>
            </w:r>
          </w:p>
          <w:p>
            <w:pPr>
              <w:pStyle w:val="null3"/>
              <w:ind w:firstLine="480"/>
            </w:pPr>
            <w:r>
              <w:rPr>
                <w:rFonts w:ascii="仿宋_GB2312" w:hAnsi="仿宋_GB2312" w:cs="仿宋_GB2312" w:eastAsia="仿宋_GB2312"/>
                <w:color w:val="000000"/>
              </w:rPr>
              <w:t>3.服务期：</w:t>
            </w:r>
            <w:r>
              <w:rPr>
                <w:rFonts w:ascii="仿宋_GB2312" w:hAnsi="仿宋_GB2312" w:cs="仿宋_GB2312" w:eastAsia="仿宋_GB2312"/>
                <w:color w:val="000000"/>
              </w:rPr>
              <w:t>3</w:t>
            </w:r>
            <w:r>
              <w:rPr>
                <w:rFonts w:ascii="仿宋_GB2312" w:hAnsi="仿宋_GB2312" w:cs="仿宋_GB2312" w:eastAsia="仿宋_GB2312"/>
                <w:color w:val="000000"/>
              </w:rPr>
              <w:t>0</w:t>
            </w:r>
            <w:r>
              <w:rPr>
                <w:rFonts w:ascii="仿宋_GB2312" w:hAnsi="仿宋_GB2312" w:cs="仿宋_GB2312" w:eastAsia="仿宋_GB2312"/>
                <w:color w:val="000000"/>
              </w:rPr>
              <w:t>日历天内交付</w:t>
            </w:r>
            <w:r>
              <w:rPr>
                <w:rFonts w:ascii="仿宋_GB2312" w:hAnsi="仿宋_GB2312" w:cs="仿宋_GB2312" w:eastAsia="仿宋_GB2312"/>
                <w:color w:val="000000"/>
              </w:rPr>
              <w:t>初步设计、施工图设计及预算编制</w:t>
            </w:r>
            <w:r>
              <w:rPr>
                <w:rFonts w:ascii="仿宋_GB2312" w:hAnsi="仿宋_GB2312" w:cs="仿宋_GB2312" w:eastAsia="仿宋_GB2312"/>
                <w:color w:val="000000"/>
              </w:rPr>
              <w:t>文件；建设施工阶段提供设计咨询等相关服务，直至项目竣工验收。</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color w:val="000000"/>
              </w:rPr>
              <w:t>4.质量要求：合格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1、供应商提供的服务，必须是符合国家有关标准要求，并满足磋商文件规定的价格、完成期限、售后服务及供应商须承担的技术支持和磋商文件规定的其它伴随服务等要求。 2、采购人有权拒绝接受任何不合格的服务，由此产生的费用及相关后果均由供应商自行承担。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30日历天内交付初步设计、施工图设计及预算编制文件；建设施工阶段提供设计咨询等相关服务，直至项目竣工验收。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 （1）合同； （2）国家有关的验收标准及规范；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提交设计成果文件并通过相关审核后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二）为顺利推进政府采购电子化交易平台应用工作，供应商需要在线提交所有通过电子化交易平台实施的政府采购项目的投标文件，同时，成交供应商应在成交通知书发出后3日内向代理机构提交纸质版投标文件，正本壹份、副本贰套及电子版1份（签字盖章扫描PDF和word文档格式，U盘存储标明单位名称）。 线上电子投标文件与纸质投标文件一致。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供应商具备资质：工程设计综合甲级资质或工程设计公路行业甲级资质或工程设计公路行业（公路）专业乙级及以上资质。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供应商拟派项目负责人具备公路工程相关专业高级工程师或以上职称，且在本单位任职（提供相应证明材料）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 供应商资格证明文件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服务内容及服务邀请应答表 分项报价表 企业业绩表 中小企业声明函 商务应答表 报价表 法定代表人授权书 响应文件封面 项目团队人员 残疾人福利性单位声明函 服务方案 标的清单 项目负责人业绩表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服务内容及服务邀请应答表 分项报价表 企业业绩表 中小企业声明函 商务应答表 报价表 法定代表人授权书 响应文件封面 项目团队人员 残疾人福利性单位声明函 服务方案 标的清单 项目负责人业绩表 响应函 监狱企业的证明文件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技术商务条款响应</w:t>
            </w:r>
          </w:p>
        </w:tc>
        <w:tc>
          <w:tcPr>
            <w:tcW w:type="dxa" w:w="3322"/>
          </w:tcPr>
          <w:p>
            <w:pPr>
              <w:pStyle w:val="null3"/>
            </w:pPr>
            <w:r>
              <w:rPr>
                <w:rFonts w:ascii="仿宋_GB2312" w:hAnsi="仿宋_GB2312" w:cs="仿宋_GB2312" w:eastAsia="仿宋_GB2312"/>
              </w:rPr>
              <w:t>完全理解接受磋商文件技术商务条款。</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服务内容及服务邀请应答表 分项报价表 企业业绩表 中小企业声明函 商务应答表 报价表 法定代表人授权书 响应文件封面 项目团队人员 残疾人福利性单位声明函 服务方案 标的清单 项目负责人业绩表 响应函 监狱企业的证明文件 供应商资格证明文件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对项目的理解及任务分析</w:t>
            </w:r>
          </w:p>
        </w:tc>
        <w:tc>
          <w:tcPr>
            <w:tcW w:type="dxa" w:w="2492"/>
          </w:tcPr>
          <w:p>
            <w:pPr>
              <w:pStyle w:val="null3"/>
            </w:pPr>
            <w:r>
              <w:rPr>
                <w:rFonts w:ascii="仿宋_GB2312" w:hAnsi="仿宋_GB2312" w:cs="仿宋_GB2312" w:eastAsia="仿宋_GB2312"/>
              </w:rPr>
              <w:t>1.评审内容 供应商描述对项目的理解及针对本项目的任务分析 2.评审标准 ①全面性：掌握项目各项工作要求，内容全面完善。 ②准确性：了解项目真实情况。 ③针对性：能够紧扣项目实际情况，内容科学合理； 3.赋分标准： ①供应商描述对项目的理解：每完全满足一项评审标准得2分，满分6分；有一项缺陷扣1分。 ②针对本项目的任务分析：每完全满足一项评审标准得2分，满分6分；有一项缺陷扣1分。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1.评审内容 供应商描述总体设计思路及方案 2.评审标准 ①可实施性：实施步骤清晰、计划合理，可实施性强。 ②合理性：切合本项目实际情况，设计合理。 ③全面性：内容全面完善，各专业考虑周全。 3.赋分标准： ①总体设计思路：每完全满足一项评审标准得2分，满分6分；有一项缺陷扣1分。 ②设计方案：每完全满足一项评审标准得2分，满分6分；有一项缺陷扣1分。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项目服务标准、服务质量保障措施</w:t>
            </w:r>
          </w:p>
        </w:tc>
        <w:tc>
          <w:tcPr>
            <w:tcW w:type="dxa" w:w="2492"/>
          </w:tcPr>
          <w:p>
            <w:pPr>
              <w:pStyle w:val="null3"/>
            </w:pPr>
            <w:r>
              <w:rPr>
                <w:rFonts w:ascii="仿宋_GB2312" w:hAnsi="仿宋_GB2312" w:cs="仿宋_GB2312" w:eastAsia="仿宋_GB2312"/>
              </w:rPr>
              <w:t>1.评审内容 质量保障措施 2.评审标准 ①可实施性：实施步骤清晰、计划合理，可实施性强。 ②合理性：切合本项目实际情况，合理可行。 3.赋分标准： 每完全满足一项评审标准得5分，满分10分；有一项缺陷扣2分。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1.评审内容：进度保障措施， 2.评审标准： ①可实施性：实施步骤清晰、计划合理，可实施性强。 ②合理性：切合本项目实际情况，合理可行。 3.赋分标准： ①进度计划：每完全满足一项评审标准得2.5分，满分5分；有一项缺陷扣1分。 ②保障措施：每完全满足一项评审标准得2.5分，满分5分；有一项缺陷扣1分。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1.评审内容 供应商提供针对本项目的设计工作重点、难点分析及解决措施。 2.评审标准 ①完整性：方案须全面，对评审内容中的要求有详细描述及说明； ②可实施性：切合本项目实际情况，实施步骤清晰、合理； ③针对性：方案能够紧扣项目实际情况，内容科学合理。 3.赋分标准：每完全满足一项评审标准得3分；有一项缺陷扣1分。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项目负责人学历</w:t>
            </w:r>
          </w:p>
        </w:tc>
        <w:tc>
          <w:tcPr>
            <w:tcW w:type="dxa" w:w="2492"/>
          </w:tcPr>
          <w:p>
            <w:pPr>
              <w:pStyle w:val="null3"/>
            </w:pPr>
            <w:r>
              <w:rPr>
                <w:rFonts w:ascii="仿宋_GB2312" w:hAnsi="仿宋_GB2312" w:cs="仿宋_GB2312" w:eastAsia="仿宋_GB2312"/>
              </w:rPr>
              <w:t>拟投入本项目的项目负责人具有本科及以上学历计3分，具有大专学历计1分，其他不得分。提供项目负责人相关证件复印件。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项目负责人简历表</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拟投入本项目的项目负责人具有丰富的工作经验，能够带领及引导队人员顺利完成项目,并达到采购人要求。提供近三年来（2023年1月1日至今）类似业绩证明材料，（以中标（成交）通知书或合同协议书为准，项目负责人姓名（以中标（成交）通知书或合同协议书为准，合同协议书或中标（成交）通知书中无法体现拟派项目设计负责人信息时，以该项目建设单位出具的加盖该项目建设单位公章的相关证明材料中负责人信息为准）。每有1项得3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项目负责人业绩表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拟派项目团队成员情况</w:t>
            </w:r>
          </w:p>
        </w:tc>
        <w:tc>
          <w:tcPr>
            <w:tcW w:type="dxa" w:w="2492"/>
          </w:tcPr>
          <w:p>
            <w:pPr>
              <w:pStyle w:val="null3"/>
            </w:pPr>
            <w:r>
              <w:rPr>
                <w:rFonts w:ascii="仿宋_GB2312" w:hAnsi="仿宋_GB2312" w:cs="仿宋_GB2312" w:eastAsia="仿宋_GB2312"/>
              </w:rPr>
              <w:t>人员配置合理，岗位分工明确，每增加一名公路工程相关专业高级工程师或以上职称的加2分，本项满分10分。 （须提供人员相关资格证书、身份证、学历等证明材料），未提供不得分。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项目团队人员</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供应商提供针对本项目的服务承诺。 2.评审标准 ①完整性：服务承诺全面，对评审内容中的要求有详细描述及说明；②可行性：切合本项目实际情况，承诺合理； 3.赋分标准：每完全满足一项评审标准得4分；有一项缺陷扣2分。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供应商需提供近三年来（2023年1月1日至今）类似业绩证明材料，每提供1个业绩得2分；最高得10分（附合同协议书或中标（成交）通知书复印件，以合同签订时间或中标（成交）通知书签发日期为准）。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满足磋商文件要求且最终磋商报价最低的供应商的价格为评标基准价，其价格分为满分。其他供应商的价格分统一按照下列公式计算： 磋商报价得分=（评标基准价/最终磋商报价）×10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详见附件：企业业绩表</w:t>
      </w:r>
    </w:p>
    <w:p>
      <w:pPr>
        <w:pStyle w:val="null3"/>
        <w:ind w:firstLine="960"/>
      </w:pPr>
      <w:r>
        <w:rPr>
          <w:rFonts w:ascii="仿宋_GB2312" w:hAnsi="仿宋_GB2312" w:cs="仿宋_GB2312" w:eastAsia="仿宋_GB2312"/>
        </w:rPr>
        <w:t>详见附件：项目负责人业绩表</w:t>
      </w:r>
    </w:p>
    <w:p>
      <w:pPr>
        <w:pStyle w:val="null3"/>
        <w:ind w:firstLine="960"/>
      </w:pPr>
      <w:r>
        <w:rPr>
          <w:rFonts w:ascii="仿宋_GB2312" w:hAnsi="仿宋_GB2312" w:cs="仿宋_GB2312" w:eastAsia="仿宋_GB2312"/>
        </w:rPr>
        <w:t>详见附件：项目团队人员</w:t>
      </w:r>
    </w:p>
    <w:p>
      <w:pPr>
        <w:pStyle w:val="null3"/>
        <w:ind w:firstLine="960"/>
      </w:pPr>
      <w:r>
        <w:rPr>
          <w:rFonts w:ascii="仿宋_GB2312" w:hAnsi="仿宋_GB2312" w:cs="仿宋_GB2312" w:eastAsia="仿宋_GB2312"/>
        </w:rPr>
        <w:t>详见附件：项目负责人简历表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详见附件：设计合同（半引路).docx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