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版本号：KHXM-ZB-254020260305001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长安区鸣犊街道塔段晓村人居环境整治项目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KHXM-ZB-2540</w:t>
      </w:r>
      <w:r>
        <w:br/>
      </w:r>
      <w:r>
        <w:br/>
      </w:r>
      <w:r>
        <w:br/>
      </w:r>
    </w:p>
    <w:p>
      <w:pPr>
        <w:pStyle w:val="null3"/>
        <w:jc w:val="center"/>
        <w:outlineLvl w:val="2"/>
      </w:pPr>
      <w:r>
        <w:rPr>
          <w:rFonts w:ascii="仿宋_GB2312" w:hAnsi="仿宋_GB2312" w:cs="仿宋_GB2312" w:eastAsia="仿宋_GB2312"/>
          <w:sz w:val="28"/>
          <w:b/>
        </w:rPr>
        <w:t>西安市长安区鸣犊街道办事处</w:t>
      </w:r>
    </w:p>
    <w:p>
      <w:pPr>
        <w:pStyle w:val="null3"/>
        <w:jc w:val="center"/>
        <w:outlineLvl w:val="2"/>
      </w:pPr>
      <w:r>
        <w:rPr>
          <w:rFonts w:ascii="仿宋_GB2312" w:hAnsi="仿宋_GB2312" w:cs="仿宋_GB2312" w:eastAsia="仿宋_GB2312"/>
          <w:sz w:val="28"/>
          <w:b/>
        </w:rPr>
        <w:t>西安昆衡项目管理有限公司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西安昆衡项目管理有限公司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西安市长安区鸣犊街道办事处</w:t>
      </w:r>
      <w:r>
        <w:rPr>
          <w:rFonts w:ascii="仿宋_GB2312" w:hAnsi="仿宋_GB2312" w:cs="仿宋_GB2312" w:eastAsia="仿宋_GB2312"/>
        </w:rPr>
        <w:t>委托，拟对</w:t>
      </w:r>
      <w:r>
        <w:rPr>
          <w:rFonts w:ascii="仿宋_GB2312" w:hAnsi="仿宋_GB2312" w:cs="仿宋_GB2312" w:eastAsia="仿宋_GB2312"/>
        </w:rPr>
        <w:t>长安区鸣犊街道塔段晓村人居环境整治项目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KHXM-ZB-2540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长安区鸣犊街道塔段晓村人居环境整治项目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新建排水渠 800m， 改造排水渠 1468m，加装预制盖板 2936 块；新建三格式沉淀池一座；新建分水闸 2 座，跌水 3 座；排水渠边硬化 1326平方米。具体详见图纸及工程量清单。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采购包1（长安区鸣犊街道塔段晓村人居环境整治项目）：属于专门面向中小企业采购。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磋商截止日前一年内已缴存的至少一个月的社会保障资金凭证）；法定代表人直接参加投标，须提供法定代表人身份证明。</w:t>
      </w:r>
    </w:p>
    <w:p>
      <w:pPr>
        <w:pStyle w:val="null3"/>
      </w:pPr>
      <w:r>
        <w:rPr>
          <w:rFonts w:ascii="仿宋_GB2312" w:hAnsi="仿宋_GB2312" w:cs="仿宋_GB2312" w:eastAsia="仿宋_GB2312"/>
        </w:rPr>
        <w:t>2、供应商须为具有独立承担民事责任能力的法人、其他组织或自然人，并出具合法有效的营业执照或事业单位法人证书等国家规定的相关证明，自然人参与的提供其身份证明：供应商须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财务状况报告：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2025年1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p>
      <w:pPr>
        <w:pStyle w:val="null3"/>
      </w:pPr>
      <w:r>
        <w:rPr>
          <w:rFonts w:ascii="仿宋_GB2312" w:hAnsi="仿宋_GB2312" w:cs="仿宋_GB2312" w:eastAsia="仿宋_GB2312"/>
        </w:rPr>
        <w:t>5、社会保障资金缴纳证明：提供2025年1月至今已缴存的至少一个月的社会保障资金缴存单据或社保机构开具的社会保险参保缴费情况证明，依法不需要缴纳社会保障资金的单位应提供相关证明材料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7、承诺函：供应商须提供具有履行合同所必需的设备和专业技术能力的承诺函</w:t>
      </w:r>
    </w:p>
    <w:p>
      <w:pPr>
        <w:pStyle w:val="null3"/>
      </w:pPr>
      <w:r>
        <w:rPr>
          <w:rFonts w:ascii="仿宋_GB2312" w:hAnsi="仿宋_GB2312" w:cs="仿宋_GB2312" w:eastAsia="仿宋_GB2312"/>
        </w:rPr>
        <w:t>8、企业资质：供应商须具备市政公用工程施工总承包三级及以上资质，并具有有效的安全生产许可证</w:t>
      </w:r>
    </w:p>
    <w:p>
      <w:pPr>
        <w:pStyle w:val="null3"/>
      </w:pPr>
      <w:r>
        <w:rPr>
          <w:rFonts w:ascii="仿宋_GB2312" w:hAnsi="仿宋_GB2312" w:cs="仿宋_GB2312" w:eastAsia="仿宋_GB2312"/>
        </w:rPr>
        <w:t>9、项目经理资质：拟派项目经理须具备市政公用工程专业二级及以上建造师资格,并具有有效的安全生产考核合格证书（安B证），且未担任其他在建工程项目的项目经理</w:t>
      </w:r>
    </w:p>
    <w:p>
      <w:pPr>
        <w:pStyle w:val="null3"/>
      </w:pPr>
      <w:r>
        <w:rPr>
          <w:rFonts w:ascii="仿宋_GB2312" w:hAnsi="仿宋_GB2312" w:cs="仿宋_GB2312" w:eastAsia="仿宋_GB2312"/>
        </w:rPr>
        <w:t>10、声明函：本项目专门面向中小企业采购，供应商须为中小企业。供应商为中小企业的，应提供《中小企业声明函》；供应商为残疾人福利性单位的，应提供《残疾人福利性单位声明函》；供应商为监狱企业的，应提供《监狱企业证明函》</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西安市长安区鸣犊街道办事处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鸣犊街道甲字5号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赵博粉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18710841381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西安昆衡项目管理有限公司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陕西省西安市长安区韦曲街办徐家寨社区2-214至2-217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王同鑫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18009259083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采购包1：1,544,600.00元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价为基数参照国家发展计划委员会“计价格【2002】1980号”文件、“发改办价格【2003】857号”文件和国家发展改革委“发改价格【2011】534号”文件规定95%计取；（不足5000元按5000元计取）待确定成交人后3日内由成交人一次性支付给采购代理机构。 收款账户信息：户名：西安昆衡项目管理有限公司 开户银行：中国银行西安长安区樊川路支行 银行账号：103290501162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西安市长安区鸣犊街道办事处</w:t>
      </w:r>
      <w:r>
        <w:rPr>
          <w:rFonts w:ascii="仿宋_GB2312" w:hAnsi="仿宋_GB2312" w:cs="仿宋_GB2312" w:eastAsia="仿宋_GB2312"/>
        </w:rPr>
        <w:t>和</w:t>
      </w:r>
      <w:r>
        <w:rPr>
          <w:rFonts w:ascii="仿宋_GB2312" w:hAnsi="仿宋_GB2312" w:cs="仿宋_GB2312" w:eastAsia="仿宋_GB2312"/>
        </w:rPr>
        <w:t>西安昆衡项目管理有限公司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西安市长安区鸣犊街道办事处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西安昆衡项目管理有限公司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西安市长安区鸣犊街道办事处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西安昆衡项目管理有限公司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联系人：王同鑫</w:t>
      </w:r>
    </w:p>
    <w:p>
      <w:pPr>
        <w:pStyle w:val="null3"/>
      </w:pPr>
      <w:r>
        <w:rPr>
          <w:rFonts w:ascii="仿宋_GB2312" w:hAnsi="仿宋_GB2312" w:cs="仿宋_GB2312" w:eastAsia="仿宋_GB2312"/>
        </w:rPr>
        <w:t>联系电话：18009259083</w:t>
      </w:r>
    </w:p>
    <w:p>
      <w:pPr>
        <w:pStyle w:val="null3"/>
      </w:pPr>
      <w:r>
        <w:rPr>
          <w:rFonts w:ascii="仿宋_GB2312" w:hAnsi="仿宋_GB2312" w:cs="仿宋_GB2312" w:eastAsia="仿宋_GB2312"/>
        </w:rPr>
        <w:t>地址：陕西省西安市长安区韦曲街办徐家寨社区2—214至2—217号商铺</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1,544,600.00</w:t>
      </w:r>
    </w:p>
    <w:p>
      <w:pPr>
        <w:pStyle w:val="null3"/>
      </w:pPr>
      <w:r>
        <w:rPr>
          <w:rFonts w:ascii="仿宋_GB2312" w:hAnsi="仿宋_GB2312" w:cs="仿宋_GB2312" w:eastAsia="仿宋_GB2312"/>
        </w:rPr>
        <w:t>采购包最高限价（元）: 1,544,600.00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长安区鸣犊街道塔段晓村人居环境整治项目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1,544,600.00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标的名称：长安区鸣犊街道塔段晓村人居环境整治项目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jc w:val="both"/>
            </w:pPr>
            <w:r>
              <w:rPr>
                <w:rFonts w:ascii="仿宋_GB2312" w:hAnsi="仿宋_GB2312" w:cs="仿宋_GB2312" w:eastAsia="仿宋_GB2312"/>
              </w:rPr>
              <w:t>工程名称：长安区鸣犊街道塔段晓村人居环境整治项目</w:t>
            </w:r>
          </w:p>
          <w:p>
            <w:pPr>
              <w:pStyle w:val="null3"/>
              <w:jc w:val="both"/>
            </w:pPr>
            <w:r>
              <w:rPr>
                <w:rFonts w:ascii="仿宋_GB2312" w:hAnsi="仿宋_GB2312" w:cs="仿宋_GB2312" w:eastAsia="仿宋_GB2312"/>
              </w:rPr>
              <w:t>工程地址：长安区鸣犊街道塔段晓村</w:t>
            </w:r>
          </w:p>
          <w:p>
            <w:pPr>
              <w:pStyle w:val="null3"/>
              <w:jc w:val="both"/>
            </w:pPr>
            <w:r>
              <w:rPr>
                <w:rFonts w:ascii="仿宋_GB2312" w:hAnsi="仿宋_GB2312" w:cs="仿宋_GB2312" w:eastAsia="仿宋_GB2312"/>
              </w:rPr>
              <w:t>工程内容：</w:t>
            </w:r>
          </w:p>
          <w:p>
            <w:pPr>
              <w:pStyle w:val="null3"/>
              <w:jc w:val="both"/>
            </w:pPr>
            <w:r>
              <w:rPr>
                <w:rFonts w:ascii="仿宋_GB2312" w:hAnsi="仿宋_GB2312" w:cs="仿宋_GB2312" w:eastAsia="仿宋_GB2312"/>
              </w:rPr>
              <w:t>（</w:t>
            </w:r>
            <w:r>
              <w:rPr>
                <w:rFonts w:ascii="仿宋_GB2312" w:hAnsi="仿宋_GB2312" w:cs="仿宋_GB2312" w:eastAsia="仿宋_GB2312"/>
              </w:rPr>
              <w:t>1）对现有破损的排水渠进行拆除重建；</w:t>
            </w:r>
          </w:p>
          <w:p>
            <w:pPr>
              <w:pStyle w:val="null3"/>
              <w:jc w:val="both"/>
            </w:pPr>
            <w:r>
              <w:rPr>
                <w:rFonts w:ascii="仿宋_GB2312" w:hAnsi="仿宋_GB2312" w:cs="仿宋_GB2312" w:eastAsia="仿宋_GB2312"/>
              </w:rPr>
              <w:t>（</w:t>
            </w:r>
            <w:r>
              <w:rPr>
                <w:rFonts w:ascii="仿宋_GB2312" w:hAnsi="仿宋_GB2312" w:cs="仿宋_GB2312" w:eastAsia="仿宋_GB2312"/>
              </w:rPr>
              <w:t>2）土渠衬砌D40排水渠总计长度为800m；衬砌改造排水渠1468m，配安装预制盖板2936块；新建生产桥2座、分水闸2座、陡坡式跌水3座、三格式沉淀池1座；新建围栏40m，渠边道路硬化1326m2。</w:t>
            </w:r>
          </w:p>
          <w:p>
            <w:pPr>
              <w:pStyle w:val="null3"/>
              <w:jc w:val="both"/>
            </w:pPr>
            <w:r>
              <w:rPr>
                <w:rFonts w:ascii="仿宋_GB2312" w:hAnsi="仿宋_GB2312" w:cs="仿宋_GB2312" w:eastAsia="仿宋_GB2312"/>
              </w:rPr>
              <w:t>二、编制依据：</w:t>
            </w:r>
          </w:p>
          <w:p>
            <w:pPr>
              <w:pStyle w:val="null3"/>
              <w:jc w:val="both"/>
            </w:pPr>
            <w:r>
              <w:rPr>
                <w:rFonts w:ascii="仿宋_GB2312" w:hAnsi="仿宋_GB2312" w:cs="仿宋_GB2312" w:eastAsia="仿宋_GB2312"/>
              </w:rPr>
              <w:t>（</w:t>
            </w:r>
            <w:r>
              <w:rPr>
                <w:rFonts w:ascii="仿宋_GB2312" w:hAnsi="仿宋_GB2312" w:cs="仿宋_GB2312" w:eastAsia="仿宋_GB2312"/>
              </w:rPr>
              <w:t>1）建筑工程：依据陕水规计[2024]107号文颁发的《陕西省水利工程预算定额》（2024年修正）；</w:t>
            </w:r>
          </w:p>
          <w:p>
            <w:pPr>
              <w:pStyle w:val="null3"/>
              <w:jc w:val="both"/>
            </w:pPr>
            <w:r>
              <w:rPr>
                <w:rFonts w:ascii="仿宋_GB2312" w:hAnsi="仿宋_GB2312" w:cs="仿宋_GB2312" w:eastAsia="仿宋_GB2312"/>
              </w:rPr>
              <w:t>（</w:t>
            </w:r>
            <w:r>
              <w:rPr>
                <w:rFonts w:ascii="仿宋_GB2312" w:hAnsi="仿宋_GB2312" w:cs="仿宋_GB2312" w:eastAsia="仿宋_GB2312"/>
              </w:rPr>
              <w:t>2）安装工程：依据《陕西省水利设备安装工程概算定额》（2024年修正）；</w:t>
            </w:r>
          </w:p>
          <w:p>
            <w:pPr>
              <w:pStyle w:val="null3"/>
              <w:jc w:val="both"/>
            </w:pPr>
            <w:r>
              <w:rPr>
                <w:rFonts w:ascii="仿宋_GB2312" w:hAnsi="仿宋_GB2312" w:cs="仿宋_GB2312" w:eastAsia="仿宋_GB2312"/>
              </w:rPr>
              <w:t>（</w:t>
            </w:r>
            <w:r>
              <w:rPr>
                <w:rFonts w:ascii="仿宋_GB2312" w:hAnsi="仿宋_GB2312" w:cs="仿宋_GB2312" w:eastAsia="仿宋_GB2312"/>
              </w:rPr>
              <w:t>3）机械台班定额：《陕西省水利工程施工机械台班费定额》（2024年修正）。</w:t>
            </w:r>
          </w:p>
          <w:p>
            <w:pPr>
              <w:pStyle w:val="null3"/>
              <w:jc w:val="both"/>
            </w:pPr>
            <w:r>
              <w:rPr>
                <w:rFonts w:ascii="仿宋_GB2312" w:hAnsi="仿宋_GB2312" w:cs="仿宋_GB2312" w:eastAsia="仿宋_GB2312"/>
              </w:rPr>
              <w:t>（</w:t>
            </w:r>
            <w:r>
              <w:rPr>
                <w:rFonts w:ascii="仿宋_GB2312" w:hAnsi="仿宋_GB2312" w:cs="仿宋_GB2312" w:eastAsia="仿宋_GB2312"/>
              </w:rPr>
              <w:t>4）其他临时工程按建安工作量的2%计入</w:t>
            </w:r>
          </w:p>
          <w:p>
            <w:pPr>
              <w:pStyle w:val="null3"/>
              <w:jc w:val="both"/>
            </w:pPr>
            <w:r>
              <w:rPr>
                <w:rFonts w:ascii="仿宋_GB2312" w:hAnsi="仿宋_GB2312" w:cs="仿宋_GB2312" w:eastAsia="仿宋_GB2312"/>
              </w:rPr>
              <w:t>三、其他说明：</w:t>
            </w:r>
          </w:p>
          <w:p>
            <w:pPr>
              <w:pStyle w:val="null3"/>
              <w:jc w:val="both"/>
            </w:pPr>
            <w:r>
              <w:rPr>
                <w:rFonts w:ascii="仿宋_GB2312" w:hAnsi="仿宋_GB2312" w:cs="仿宋_GB2312" w:eastAsia="仿宋_GB2312"/>
              </w:rPr>
              <w:t>1.软件版本：易投造价软件（版本号20250722）</w:t>
            </w:r>
          </w:p>
          <w:p>
            <w:pPr>
              <w:pStyle w:val="null3"/>
            </w:pPr>
            <w:r>
              <w:rPr>
                <w:rFonts w:ascii="仿宋_GB2312" w:hAnsi="仿宋_GB2312" w:cs="仿宋_GB2312" w:eastAsia="仿宋_GB2312"/>
                <w:sz w:val="21"/>
              </w:rPr>
              <w:t>2.暂列金：70000元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响应文件及电子响应文件二份（U盘，电子响应文件为Word版本和PDF版本，PDF文件为签字、盖章的完整正本扫描件）。装订：纸质响应文件采用书籍（胶装）方式装订成册，与电子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供应商须为具有独立承担民事责任能力的法人、其他组织或自然人，并出具合法有效的营业执照或事业单位法人证书等国家规定的相关证明，自然人参与的提供其身份证明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供应商须为具有独立承担民事责任能力的法人、其他组织或自然人，并出具合法有效的营业执照或事业单位法人证书等国家规定的相关证明，自然人参与的提供其身份证明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拟派项目经理须具备市政公用工程专业二级及以上建造师资格,并具有有效的安全生产考核合格证书（安B证），且未担任其他在建工程项目的项目经理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须为中小企业。供应商为中小企业的，应提供《中小企业声明函》；供应商为残疾人福利性单位的，应提供《残疾人福利性单位声明函》；供应商为监狱企业的，应提供《监狱企业证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 盖章</w:t>
            </w:r>
          </w:p>
        </w:tc>
        <w:tc>
          <w:tcPr>
            <w:tcW w:type="dxa" w:w="3322"/>
          </w:tcPr>
          <w:p>
            <w:pPr>
              <w:pStyle w:val="null3"/>
            </w:pPr>
            <w:r>
              <w:rPr>
                <w:rFonts w:ascii="仿宋_GB2312" w:hAnsi="仿宋_GB2312" w:cs="仿宋_GB2312" w:eastAsia="仿宋_GB2312"/>
              </w:rPr>
              <w:t>响应文件的签署、盖章符合磋商文件要求，且无遗漏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供应商提供2022年1月以来类似项目业绩合同（以合同签订时间为准），每份得2.5分，满分10分。 （注：以上证明文件在磋商响应文件中附业绩合同扫描件并加盖公章。）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施工方案与技术措施：完全符合要求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工程质量的技术组织措施：完全符合要求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文明施工、环境保护及现场扬尘治污防治措施：完全符合要求7-10 分；基本满足要求 4-7 分；不满足要求求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施工进度计划及工期保证措施：完全符合要求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施工机械配备和材料投入计划：完全符合要求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施工组织设计6</w:t>
            </w:r>
          </w:p>
        </w:tc>
        <w:tc>
          <w:tcPr>
            <w:tcW w:type="dxa" w:w="2492"/>
          </w:tcPr>
          <w:p>
            <w:pPr>
              <w:pStyle w:val="null3"/>
            </w:pPr>
            <w:r>
              <w:rPr>
                <w:rFonts w:ascii="仿宋_GB2312" w:hAnsi="仿宋_GB2312" w:cs="仿宋_GB2312" w:eastAsia="仿宋_GB2312"/>
              </w:rPr>
              <w:t>项目管理及技术力量配备：完全符合要求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价格得分采用低价优先法计算，即满足竞争性磋商文件要求且报价最低的供应商的价格为评标基准价，其价格得分为满分。其他供应商的价格得分统一按照下列公式计算：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